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77C83">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需求说明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4"/>
        <w:gridCol w:w="6628"/>
      </w:tblGrid>
      <w:tr w14:paraId="0186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94" w:type="dxa"/>
            <w:vAlign w:val="center"/>
          </w:tcPr>
          <w:p w14:paraId="27200D1B">
            <w:pPr>
              <w:pStyle w:val="2"/>
              <w:widowControl/>
              <w:shd w:val="clear" w:color="auto" w:fill="FFFFFF"/>
              <w:spacing w:before="0" w:beforeAutospacing="0" w:after="0" w:afterAutospacing="0" w:line="23" w:lineRule="atLeast"/>
              <w:jc w:val="center"/>
              <w:rPr>
                <w:rFonts w:ascii="仿宋" w:hAnsi="仿宋" w:eastAsia="仿宋" w:cs="仿宋"/>
                <w:sz w:val="30"/>
                <w:szCs w:val="30"/>
              </w:rPr>
            </w:pPr>
            <w:r>
              <w:rPr>
                <w:rFonts w:ascii="仿宋" w:hAnsi="仿宋" w:eastAsia="仿宋" w:cs="仿宋"/>
                <w:b w:val="0"/>
                <w:sz w:val="30"/>
                <w:szCs w:val="30"/>
              </w:rPr>
              <w:t>项目名称</w:t>
            </w:r>
          </w:p>
        </w:tc>
        <w:tc>
          <w:tcPr>
            <w:tcW w:w="6628" w:type="dxa"/>
          </w:tcPr>
          <w:p w14:paraId="13A379DC">
            <w:pPr>
              <w:jc w:val="center"/>
              <w:rPr>
                <w:rFonts w:hint="eastAsia" w:ascii="仿宋" w:hAnsi="仿宋" w:eastAsia="仿宋" w:cs="仿宋"/>
                <w:sz w:val="30"/>
                <w:szCs w:val="30"/>
              </w:rPr>
            </w:pPr>
            <w:r>
              <w:rPr>
                <w:rFonts w:ascii="微软雅黑" w:hAnsi="微软雅黑" w:eastAsia="微软雅黑" w:cs="微软雅黑"/>
                <w:i w:val="0"/>
                <w:iCs w:val="0"/>
                <w:caps w:val="0"/>
                <w:color w:val="333333"/>
                <w:spacing w:val="0"/>
                <w:sz w:val="21"/>
                <w:szCs w:val="21"/>
                <w:shd w:val="clear" w:fill="FFFFFF"/>
              </w:rPr>
              <w:t>癌症机会性筛查系统</w:t>
            </w:r>
          </w:p>
        </w:tc>
      </w:tr>
      <w:tr w14:paraId="70D7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2" w:hRule="atLeast"/>
        </w:trPr>
        <w:tc>
          <w:tcPr>
            <w:tcW w:w="1894" w:type="dxa"/>
            <w:vAlign w:val="center"/>
          </w:tcPr>
          <w:p w14:paraId="65DDCFA5">
            <w:pPr>
              <w:pStyle w:val="2"/>
              <w:widowControl/>
              <w:shd w:val="clear" w:color="auto" w:fill="FFFFFF"/>
              <w:spacing w:before="0" w:beforeAutospacing="0" w:after="0" w:afterAutospacing="0" w:line="23" w:lineRule="atLeast"/>
              <w:jc w:val="center"/>
              <w:rPr>
                <w:rFonts w:ascii="仿宋" w:hAnsi="仿宋" w:eastAsia="仿宋" w:cs="仿宋"/>
                <w:b w:val="0"/>
                <w:bCs/>
                <w:sz w:val="30"/>
                <w:szCs w:val="30"/>
                <w:shd w:val="clear" w:color="auto" w:fill="FFFFFF"/>
              </w:rPr>
            </w:pPr>
            <w:r>
              <w:rPr>
                <w:rFonts w:ascii="仿宋" w:hAnsi="仿宋" w:eastAsia="仿宋" w:cs="仿宋"/>
                <w:b w:val="0"/>
                <w:bCs/>
                <w:sz w:val="30"/>
                <w:szCs w:val="30"/>
                <w:shd w:val="clear" w:color="auto" w:fill="FFFFFF"/>
              </w:rPr>
              <w:t>建设内容</w:t>
            </w:r>
          </w:p>
          <w:p w14:paraId="2BA073A0">
            <w:pPr>
              <w:pStyle w:val="2"/>
              <w:widowControl/>
              <w:shd w:val="clear" w:color="auto" w:fill="FFFFFF"/>
              <w:spacing w:before="0" w:beforeAutospacing="0" w:after="0" w:afterAutospacing="0" w:line="23" w:lineRule="atLeast"/>
              <w:jc w:val="center"/>
              <w:rPr>
                <w:rFonts w:ascii="仿宋" w:hAnsi="仿宋" w:eastAsia="仿宋" w:cs="仿宋"/>
                <w:b w:val="0"/>
                <w:bCs/>
                <w:sz w:val="30"/>
                <w:szCs w:val="30"/>
                <w:shd w:val="clear" w:color="auto" w:fill="FFFFFF"/>
              </w:rPr>
            </w:pPr>
            <w:r>
              <w:rPr>
                <w:rFonts w:ascii="仿宋" w:hAnsi="仿宋" w:eastAsia="仿宋" w:cs="仿宋"/>
                <w:b w:val="0"/>
                <w:bCs/>
                <w:sz w:val="30"/>
                <w:szCs w:val="30"/>
                <w:shd w:val="clear" w:color="auto" w:fill="FFFFFF"/>
              </w:rPr>
              <w:t>及技术参数要求</w:t>
            </w:r>
          </w:p>
        </w:tc>
        <w:tc>
          <w:tcPr>
            <w:tcW w:w="6628" w:type="dxa"/>
          </w:tcPr>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992"/>
              <w:gridCol w:w="1134"/>
              <w:gridCol w:w="3477"/>
            </w:tblGrid>
            <w:tr w14:paraId="3F52C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tcPr>
                <w:p w14:paraId="5443A541">
                  <w:pPr>
                    <w:widowControl/>
                    <w:spacing w:after="0" w:line="240" w:lineRule="auto"/>
                    <w:jc w:val="left"/>
                    <w:rPr>
                      <w:rFonts w:ascii="仿宋" w:hAnsi="仿宋" w:eastAsia="仿宋" w:cs="宋体"/>
                      <w:b/>
                      <w:bCs/>
                      <w:kern w:val="0"/>
                      <w:szCs w:val="21"/>
                    </w:rPr>
                  </w:pPr>
                  <w:r>
                    <w:rPr>
                      <w:rFonts w:hint="eastAsia" w:ascii="仿宋" w:hAnsi="仿宋" w:eastAsia="仿宋" w:cs="宋体"/>
                      <w:b/>
                      <w:bCs/>
                      <w:kern w:val="0"/>
                      <w:szCs w:val="21"/>
                    </w:rPr>
                    <w:t>服务场景</w:t>
                  </w:r>
                </w:p>
              </w:tc>
              <w:tc>
                <w:tcPr>
                  <w:tcW w:w="992" w:type="dxa"/>
                  <w:noWrap/>
                </w:tcPr>
                <w:p w14:paraId="4227A1A1">
                  <w:pPr>
                    <w:widowControl/>
                    <w:spacing w:after="0" w:line="240" w:lineRule="auto"/>
                    <w:jc w:val="left"/>
                    <w:rPr>
                      <w:rFonts w:hint="eastAsia" w:ascii="仿宋" w:hAnsi="仿宋" w:eastAsia="仿宋" w:cs="宋体"/>
                      <w:b/>
                      <w:bCs/>
                      <w:kern w:val="0"/>
                      <w:szCs w:val="21"/>
                    </w:rPr>
                  </w:pPr>
                  <w:r>
                    <w:rPr>
                      <w:rFonts w:hint="eastAsia" w:ascii="仿宋" w:hAnsi="仿宋" w:eastAsia="仿宋" w:cs="宋体"/>
                      <w:b/>
                      <w:bCs/>
                      <w:kern w:val="0"/>
                      <w:szCs w:val="21"/>
                    </w:rPr>
                    <w:t>模块</w:t>
                  </w:r>
                </w:p>
              </w:tc>
              <w:tc>
                <w:tcPr>
                  <w:tcW w:w="1134" w:type="dxa"/>
                  <w:noWrap/>
                </w:tcPr>
                <w:p w14:paraId="0570705D">
                  <w:pPr>
                    <w:widowControl/>
                    <w:spacing w:after="0" w:line="240" w:lineRule="auto"/>
                    <w:jc w:val="left"/>
                    <w:rPr>
                      <w:rFonts w:hint="eastAsia" w:ascii="仿宋" w:hAnsi="仿宋" w:eastAsia="仿宋" w:cs="宋体"/>
                      <w:b/>
                      <w:bCs/>
                      <w:kern w:val="0"/>
                      <w:szCs w:val="21"/>
                    </w:rPr>
                  </w:pPr>
                  <w:r>
                    <w:rPr>
                      <w:rFonts w:hint="eastAsia" w:ascii="仿宋" w:hAnsi="仿宋" w:eastAsia="仿宋" w:cs="宋体"/>
                      <w:b/>
                      <w:bCs/>
                      <w:kern w:val="0"/>
                      <w:szCs w:val="21"/>
                    </w:rPr>
                    <w:t>功能</w:t>
                  </w:r>
                </w:p>
              </w:tc>
              <w:tc>
                <w:tcPr>
                  <w:tcW w:w="3477" w:type="dxa"/>
                </w:tcPr>
                <w:p w14:paraId="45934F37">
                  <w:pPr>
                    <w:widowControl/>
                    <w:spacing w:after="0" w:line="240" w:lineRule="auto"/>
                    <w:jc w:val="left"/>
                    <w:rPr>
                      <w:rFonts w:hint="eastAsia" w:ascii="仿宋" w:hAnsi="仿宋" w:eastAsia="仿宋" w:cs="宋体"/>
                      <w:b/>
                      <w:bCs/>
                      <w:kern w:val="0"/>
                      <w:szCs w:val="21"/>
                    </w:rPr>
                  </w:pPr>
                  <w:r>
                    <w:rPr>
                      <w:rFonts w:hint="eastAsia" w:ascii="仿宋" w:hAnsi="仿宋" w:eastAsia="仿宋" w:cs="宋体"/>
                      <w:b/>
                      <w:bCs/>
                      <w:kern w:val="0"/>
                      <w:szCs w:val="21"/>
                    </w:rPr>
                    <w:t>技术参数</w:t>
                  </w:r>
                </w:p>
              </w:tc>
            </w:tr>
            <w:tr w14:paraId="5A4B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restart"/>
                </w:tcPr>
                <w:p w14:paraId="661C0D62">
                  <w:pPr>
                    <w:widowControl/>
                    <w:spacing w:after="0" w:line="240" w:lineRule="auto"/>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机会</w:t>
                  </w:r>
                  <w:r>
                    <w:rPr>
                      <w:rFonts w:hint="eastAsia" w:ascii="仿宋" w:hAnsi="仿宋" w:eastAsia="仿宋" w:cs="宋体"/>
                      <w:color w:val="000000"/>
                      <w:kern w:val="0"/>
                      <w:szCs w:val="21"/>
                      <w:lang w:val="en-US" w:eastAsia="zh-CN"/>
                    </w:rPr>
                    <w:t>性</w:t>
                  </w:r>
                  <w:r>
                    <w:rPr>
                      <w:rFonts w:hint="eastAsia" w:ascii="仿宋" w:hAnsi="仿宋" w:eastAsia="仿宋" w:cs="宋体"/>
                      <w:color w:val="000000"/>
                      <w:kern w:val="0"/>
                      <w:szCs w:val="21"/>
                    </w:rPr>
                    <w:t>筛查管理</w:t>
                  </w:r>
                </w:p>
              </w:tc>
              <w:tc>
                <w:tcPr>
                  <w:tcW w:w="992" w:type="dxa"/>
                </w:tcPr>
                <w:p w14:paraId="5D3A48F5">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总体概览</w:t>
                  </w:r>
                </w:p>
              </w:tc>
              <w:tc>
                <w:tcPr>
                  <w:tcW w:w="1134" w:type="dxa"/>
                </w:tcPr>
                <w:p w14:paraId="200DCF79">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w:t>
                  </w:r>
                </w:p>
              </w:tc>
              <w:tc>
                <w:tcPr>
                  <w:tcW w:w="3477" w:type="dxa"/>
                </w:tcPr>
                <w:p w14:paraId="4CDD2115">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支持用户添加平台功能快捷入口；</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支持浏览用户权限范围内的在院患者概览情况，风险评估概览情况，筛查结果概览情况，随访概览情况；</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支持展示高危因素触发概览情况</w:t>
                  </w:r>
                </w:p>
              </w:tc>
            </w:tr>
            <w:tr w14:paraId="4798F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0CE9350F">
                  <w:pPr>
                    <w:widowControl/>
                    <w:spacing w:after="0" w:line="240" w:lineRule="auto"/>
                    <w:jc w:val="left"/>
                    <w:rPr>
                      <w:rFonts w:ascii="仿宋" w:hAnsi="仿宋" w:eastAsia="仿宋" w:cs="宋体"/>
                      <w:color w:val="000000"/>
                      <w:kern w:val="0"/>
                      <w:szCs w:val="21"/>
                    </w:rPr>
                  </w:pPr>
                </w:p>
              </w:tc>
              <w:tc>
                <w:tcPr>
                  <w:tcW w:w="992" w:type="dxa"/>
                  <w:vMerge w:val="restart"/>
                </w:tcPr>
                <w:p w14:paraId="69A5307A">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人群管理</w:t>
                  </w:r>
                </w:p>
              </w:tc>
              <w:tc>
                <w:tcPr>
                  <w:tcW w:w="1134" w:type="dxa"/>
                </w:tcPr>
                <w:p w14:paraId="0141A2B9">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患者管理</w:t>
                  </w:r>
                </w:p>
              </w:tc>
              <w:tc>
                <w:tcPr>
                  <w:tcW w:w="3477" w:type="dxa"/>
                </w:tcPr>
                <w:p w14:paraId="4E0C43FC">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支持查看患者信息</w:t>
                  </w:r>
                </w:p>
              </w:tc>
            </w:tr>
            <w:tr w14:paraId="1894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35166AD">
                  <w:pPr>
                    <w:widowControl/>
                    <w:spacing w:after="0" w:line="240" w:lineRule="auto"/>
                    <w:jc w:val="left"/>
                    <w:rPr>
                      <w:rFonts w:ascii="仿宋" w:hAnsi="仿宋" w:eastAsia="仿宋" w:cs="宋体"/>
                      <w:color w:val="000000"/>
                      <w:kern w:val="0"/>
                      <w:szCs w:val="21"/>
                    </w:rPr>
                  </w:pPr>
                </w:p>
              </w:tc>
              <w:tc>
                <w:tcPr>
                  <w:tcW w:w="992" w:type="dxa"/>
                  <w:vMerge w:val="continue"/>
                </w:tcPr>
                <w:p w14:paraId="74DCD9EE">
                  <w:pPr>
                    <w:widowControl/>
                    <w:spacing w:after="0" w:line="240" w:lineRule="auto"/>
                    <w:jc w:val="left"/>
                    <w:rPr>
                      <w:rFonts w:ascii="仿宋" w:hAnsi="仿宋" w:eastAsia="仿宋" w:cs="宋体"/>
                      <w:color w:val="000000"/>
                      <w:kern w:val="0"/>
                      <w:szCs w:val="21"/>
                    </w:rPr>
                  </w:pPr>
                </w:p>
              </w:tc>
              <w:tc>
                <w:tcPr>
                  <w:tcW w:w="1134" w:type="dxa"/>
                  <w:vMerge w:val="restart"/>
                </w:tcPr>
                <w:p w14:paraId="57A16C8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风险评估管理</w:t>
                  </w:r>
                </w:p>
              </w:tc>
              <w:tc>
                <w:tcPr>
                  <w:tcW w:w="3477" w:type="dxa"/>
                </w:tcPr>
                <w:p w14:paraId="66CE6F68">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▲支持展示待风险评估的人群清单，支持按照待评估癌种进行搜索，支持代患者完成风险评估；支持新建患者并为其测评评估；支持查看风险评估的详细信息；</w:t>
                  </w:r>
                </w:p>
              </w:tc>
            </w:tr>
            <w:tr w14:paraId="2AF7D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02BA638">
                  <w:pPr>
                    <w:widowControl/>
                    <w:spacing w:after="0" w:line="240" w:lineRule="auto"/>
                    <w:jc w:val="left"/>
                    <w:rPr>
                      <w:rFonts w:ascii="仿宋" w:hAnsi="仿宋" w:eastAsia="仿宋" w:cs="宋体"/>
                      <w:color w:val="000000"/>
                      <w:kern w:val="0"/>
                      <w:szCs w:val="21"/>
                    </w:rPr>
                  </w:pPr>
                </w:p>
              </w:tc>
              <w:tc>
                <w:tcPr>
                  <w:tcW w:w="992" w:type="dxa"/>
                  <w:vMerge w:val="continue"/>
                </w:tcPr>
                <w:p w14:paraId="45946765">
                  <w:pPr>
                    <w:widowControl/>
                    <w:spacing w:after="0" w:line="240" w:lineRule="auto"/>
                    <w:jc w:val="left"/>
                    <w:rPr>
                      <w:rFonts w:ascii="仿宋" w:hAnsi="仿宋" w:eastAsia="仿宋" w:cs="宋体"/>
                      <w:color w:val="000000"/>
                      <w:kern w:val="0"/>
                      <w:szCs w:val="21"/>
                    </w:rPr>
                  </w:pPr>
                </w:p>
              </w:tc>
              <w:tc>
                <w:tcPr>
                  <w:tcW w:w="1134" w:type="dxa"/>
                  <w:vMerge w:val="continue"/>
                </w:tcPr>
                <w:p w14:paraId="694F583E">
                  <w:pPr>
                    <w:widowControl/>
                    <w:spacing w:after="0" w:line="240" w:lineRule="auto"/>
                    <w:jc w:val="left"/>
                    <w:rPr>
                      <w:rFonts w:ascii="仿宋" w:hAnsi="仿宋" w:eastAsia="仿宋" w:cs="宋体"/>
                      <w:color w:val="000000"/>
                      <w:kern w:val="0"/>
                      <w:szCs w:val="21"/>
                    </w:rPr>
                  </w:pPr>
                </w:p>
              </w:tc>
              <w:tc>
                <w:tcPr>
                  <w:tcW w:w="3477" w:type="dxa"/>
                </w:tcPr>
                <w:p w14:paraId="23F93876">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针对风险评估的人群进行统计，支持展示评估人群的基本信息和癌种评估情况；支持查看患者评估问卷详情；支持多条件搜索；</w:t>
                  </w:r>
                </w:p>
              </w:tc>
            </w:tr>
            <w:tr w14:paraId="3D5B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01E497E5">
                  <w:pPr>
                    <w:widowControl/>
                    <w:spacing w:after="0" w:line="240" w:lineRule="auto"/>
                    <w:jc w:val="left"/>
                    <w:rPr>
                      <w:rFonts w:ascii="仿宋" w:hAnsi="仿宋" w:eastAsia="仿宋" w:cs="宋体"/>
                      <w:color w:val="000000"/>
                      <w:kern w:val="0"/>
                      <w:szCs w:val="21"/>
                    </w:rPr>
                  </w:pPr>
                </w:p>
              </w:tc>
              <w:tc>
                <w:tcPr>
                  <w:tcW w:w="992" w:type="dxa"/>
                  <w:vMerge w:val="continue"/>
                </w:tcPr>
                <w:p w14:paraId="39A3ED74">
                  <w:pPr>
                    <w:widowControl/>
                    <w:spacing w:after="0" w:line="240" w:lineRule="auto"/>
                    <w:jc w:val="left"/>
                    <w:rPr>
                      <w:rFonts w:ascii="仿宋" w:hAnsi="仿宋" w:eastAsia="仿宋" w:cs="宋体"/>
                      <w:color w:val="000000"/>
                      <w:kern w:val="0"/>
                      <w:szCs w:val="21"/>
                    </w:rPr>
                  </w:pPr>
                </w:p>
              </w:tc>
              <w:tc>
                <w:tcPr>
                  <w:tcW w:w="1134" w:type="dxa"/>
                  <w:vMerge w:val="continue"/>
                </w:tcPr>
                <w:p w14:paraId="60D95CFF">
                  <w:pPr>
                    <w:widowControl/>
                    <w:spacing w:after="0" w:line="240" w:lineRule="auto"/>
                    <w:jc w:val="left"/>
                    <w:rPr>
                      <w:rFonts w:ascii="仿宋" w:hAnsi="仿宋" w:eastAsia="仿宋" w:cs="宋体"/>
                      <w:color w:val="000000"/>
                      <w:kern w:val="0"/>
                      <w:szCs w:val="21"/>
                    </w:rPr>
                  </w:pPr>
                </w:p>
              </w:tc>
              <w:tc>
                <w:tcPr>
                  <w:tcW w:w="3477" w:type="dxa"/>
                </w:tcPr>
                <w:p w14:paraId="0DD19C06">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支持展示无需评估患者清单，支持查看无需评估的原因；</w:t>
                  </w:r>
                </w:p>
              </w:tc>
            </w:tr>
            <w:tr w14:paraId="7533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73077EA1">
                  <w:pPr>
                    <w:widowControl/>
                    <w:spacing w:after="0" w:line="240" w:lineRule="auto"/>
                    <w:jc w:val="left"/>
                    <w:rPr>
                      <w:rFonts w:ascii="仿宋" w:hAnsi="仿宋" w:eastAsia="仿宋" w:cs="宋体"/>
                      <w:color w:val="000000"/>
                      <w:kern w:val="0"/>
                      <w:szCs w:val="21"/>
                    </w:rPr>
                  </w:pPr>
                </w:p>
              </w:tc>
              <w:tc>
                <w:tcPr>
                  <w:tcW w:w="992" w:type="dxa"/>
                  <w:vMerge w:val="continue"/>
                </w:tcPr>
                <w:p w14:paraId="0191DF5A">
                  <w:pPr>
                    <w:widowControl/>
                    <w:spacing w:after="0" w:line="240" w:lineRule="auto"/>
                    <w:jc w:val="left"/>
                    <w:rPr>
                      <w:rFonts w:ascii="仿宋" w:hAnsi="仿宋" w:eastAsia="仿宋" w:cs="宋体"/>
                      <w:color w:val="000000"/>
                      <w:kern w:val="0"/>
                      <w:szCs w:val="21"/>
                    </w:rPr>
                  </w:pPr>
                </w:p>
              </w:tc>
              <w:tc>
                <w:tcPr>
                  <w:tcW w:w="1134" w:type="dxa"/>
                  <w:vMerge w:val="restart"/>
                </w:tcPr>
                <w:p w14:paraId="543232B8">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筛查预约管理</w:t>
                  </w:r>
                </w:p>
              </w:tc>
              <w:tc>
                <w:tcPr>
                  <w:tcW w:w="3477" w:type="dxa"/>
                </w:tcPr>
                <w:p w14:paraId="24D0B16F">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▲支持代患者完成筛查预约；</w:t>
                  </w:r>
                </w:p>
              </w:tc>
            </w:tr>
            <w:tr w14:paraId="67EA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E548674">
                  <w:pPr>
                    <w:widowControl/>
                    <w:spacing w:after="0" w:line="240" w:lineRule="auto"/>
                    <w:jc w:val="left"/>
                    <w:rPr>
                      <w:rFonts w:ascii="仿宋" w:hAnsi="仿宋" w:eastAsia="仿宋" w:cs="宋体"/>
                      <w:color w:val="000000"/>
                      <w:kern w:val="0"/>
                      <w:szCs w:val="21"/>
                    </w:rPr>
                  </w:pPr>
                </w:p>
              </w:tc>
              <w:tc>
                <w:tcPr>
                  <w:tcW w:w="992" w:type="dxa"/>
                  <w:vMerge w:val="continue"/>
                </w:tcPr>
                <w:p w14:paraId="6BB706C0">
                  <w:pPr>
                    <w:widowControl/>
                    <w:spacing w:after="0" w:line="240" w:lineRule="auto"/>
                    <w:jc w:val="left"/>
                    <w:rPr>
                      <w:rFonts w:ascii="仿宋" w:hAnsi="仿宋" w:eastAsia="仿宋" w:cs="宋体"/>
                      <w:color w:val="000000"/>
                      <w:kern w:val="0"/>
                      <w:szCs w:val="21"/>
                    </w:rPr>
                  </w:pPr>
                </w:p>
              </w:tc>
              <w:tc>
                <w:tcPr>
                  <w:tcW w:w="1134" w:type="dxa"/>
                  <w:vMerge w:val="continue"/>
                </w:tcPr>
                <w:p w14:paraId="678AE231">
                  <w:pPr>
                    <w:widowControl/>
                    <w:spacing w:after="0" w:line="240" w:lineRule="auto"/>
                    <w:jc w:val="left"/>
                    <w:rPr>
                      <w:rFonts w:ascii="仿宋" w:hAnsi="仿宋" w:eastAsia="仿宋" w:cs="宋体"/>
                      <w:color w:val="000000"/>
                      <w:kern w:val="0"/>
                      <w:szCs w:val="21"/>
                    </w:rPr>
                  </w:pPr>
                </w:p>
              </w:tc>
              <w:tc>
                <w:tcPr>
                  <w:tcW w:w="3477" w:type="dxa"/>
                </w:tcPr>
                <w:p w14:paraId="5614681D">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支持按权限查询所有管辖组织的预约数据；支持针对不同状态的预约数据进行到检操作；</w:t>
                  </w:r>
                </w:p>
              </w:tc>
            </w:tr>
            <w:tr w14:paraId="4044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B7D3318">
                  <w:pPr>
                    <w:widowControl/>
                    <w:spacing w:after="0" w:line="240" w:lineRule="auto"/>
                    <w:jc w:val="left"/>
                    <w:rPr>
                      <w:rFonts w:ascii="仿宋" w:hAnsi="仿宋" w:eastAsia="仿宋" w:cs="宋体"/>
                      <w:color w:val="000000"/>
                      <w:kern w:val="0"/>
                      <w:szCs w:val="21"/>
                    </w:rPr>
                  </w:pPr>
                </w:p>
              </w:tc>
              <w:tc>
                <w:tcPr>
                  <w:tcW w:w="992" w:type="dxa"/>
                  <w:vMerge w:val="continue"/>
                </w:tcPr>
                <w:p w14:paraId="4D1DE2DB">
                  <w:pPr>
                    <w:widowControl/>
                    <w:spacing w:after="0" w:line="240" w:lineRule="auto"/>
                    <w:jc w:val="left"/>
                    <w:rPr>
                      <w:rFonts w:ascii="仿宋" w:hAnsi="仿宋" w:eastAsia="仿宋" w:cs="宋体"/>
                      <w:color w:val="000000"/>
                      <w:kern w:val="0"/>
                      <w:szCs w:val="21"/>
                    </w:rPr>
                  </w:pPr>
                </w:p>
              </w:tc>
              <w:tc>
                <w:tcPr>
                  <w:tcW w:w="1134" w:type="dxa"/>
                  <w:vMerge w:val="continue"/>
                </w:tcPr>
                <w:p w14:paraId="0E94BBCF">
                  <w:pPr>
                    <w:widowControl/>
                    <w:spacing w:after="0" w:line="240" w:lineRule="auto"/>
                    <w:jc w:val="left"/>
                    <w:rPr>
                      <w:rFonts w:ascii="仿宋" w:hAnsi="仿宋" w:eastAsia="仿宋" w:cs="宋体"/>
                      <w:color w:val="000000"/>
                      <w:kern w:val="0"/>
                      <w:szCs w:val="21"/>
                    </w:rPr>
                  </w:pPr>
                </w:p>
              </w:tc>
              <w:tc>
                <w:tcPr>
                  <w:tcW w:w="3477" w:type="dxa"/>
                </w:tcPr>
                <w:p w14:paraId="7AF5BC47">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支持针对不同状态的预约数据进行弃检操作；</w:t>
                  </w:r>
                </w:p>
              </w:tc>
            </w:tr>
            <w:tr w14:paraId="7CD95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E36ACB7">
                  <w:pPr>
                    <w:widowControl/>
                    <w:spacing w:after="0" w:line="240" w:lineRule="auto"/>
                    <w:jc w:val="left"/>
                    <w:rPr>
                      <w:rFonts w:ascii="仿宋" w:hAnsi="仿宋" w:eastAsia="仿宋" w:cs="宋体"/>
                      <w:color w:val="000000"/>
                      <w:kern w:val="0"/>
                      <w:szCs w:val="21"/>
                    </w:rPr>
                  </w:pPr>
                </w:p>
              </w:tc>
              <w:tc>
                <w:tcPr>
                  <w:tcW w:w="992" w:type="dxa"/>
                  <w:vMerge w:val="continue"/>
                </w:tcPr>
                <w:p w14:paraId="028CB19D">
                  <w:pPr>
                    <w:widowControl/>
                    <w:spacing w:after="0" w:line="240" w:lineRule="auto"/>
                    <w:jc w:val="left"/>
                    <w:rPr>
                      <w:rFonts w:ascii="仿宋" w:hAnsi="仿宋" w:eastAsia="仿宋" w:cs="宋体"/>
                      <w:color w:val="000000"/>
                      <w:kern w:val="0"/>
                      <w:szCs w:val="21"/>
                    </w:rPr>
                  </w:pPr>
                </w:p>
              </w:tc>
              <w:tc>
                <w:tcPr>
                  <w:tcW w:w="1134" w:type="dxa"/>
                  <w:vMerge w:val="continue"/>
                </w:tcPr>
                <w:p w14:paraId="6A86924C">
                  <w:pPr>
                    <w:widowControl/>
                    <w:spacing w:after="0" w:line="240" w:lineRule="auto"/>
                    <w:jc w:val="left"/>
                    <w:rPr>
                      <w:rFonts w:ascii="仿宋" w:hAnsi="仿宋" w:eastAsia="仿宋" w:cs="宋体"/>
                      <w:color w:val="000000"/>
                      <w:kern w:val="0"/>
                      <w:szCs w:val="21"/>
                    </w:rPr>
                  </w:pPr>
                </w:p>
              </w:tc>
              <w:tc>
                <w:tcPr>
                  <w:tcW w:w="3477" w:type="dxa"/>
                </w:tcPr>
                <w:p w14:paraId="47A76BA4">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支持针对已完成筛查的患者数据，进行手工上传筛查报告，支持上传图片和填写文字说明两种报告；</w:t>
                  </w:r>
                </w:p>
              </w:tc>
            </w:tr>
            <w:tr w14:paraId="660A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804CEA8">
                  <w:pPr>
                    <w:widowControl/>
                    <w:spacing w:after="0" w:line="240" w:lineRule="auto"/>
                    <w:jc w:val="left"/>
                    <w:rPr>
                      <w:rFonts w:ascii="仿宋" w:hAnsi="仿宋" w:eastAsia="仿宋" w:cs="宋体"/>
                      <w:color w:val="000000"/>
                      <w:kern w:val="0"/>
                      <w:szCs w:val="21"/>
                    </w:rPr>
                  </w:pPr>
                </w:p>
              </w:tc>
              <w:tc>
                <w:tcPr>
                  <w:tcW w:w="992" w:type="dxa"/>
                  <w:vMerge w:val="continue"/>
                </w:tcPr>
                <w:p w14:paraId="2B78C74B">
                  <w:pPr>
                    <w:widowControl/>
                    <w:spacing w:after="0" w:line="240" w:lineRule="auto"/>
                    <w:jc w:val="left"/>
                    <w:rPr>
                      <w:rFonts w:ascii="仿宋" w:hAnsi="仿宋" w:eastAsia="仿宋" w:cs="宋体"/>
                      <w:color w:val="000000"/>
                      <w:kern w:val="0"/>
                      <w:szCs w:val="21"/>
                    </w:rPr>
                  </w:pPr>
                </w:p>
              </w:tc>
              <w:tc>
                <w:tcPr>
                  <w:tcW w:w="1134" w:type="dxa"/>
                  <w:vMerge w:val="restart"/>
                </w:tcPr>
                <w:p w14:paraId="53824DE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健康随访管理</w:t>
                  </w:r>
                </w:p>
              </w:tc>
              <w:tc>
                <w:tcPr>
                  <w:tcW w:w="3477" w:type="dxa"/>
                </w:tcPr>
                <w:p w14:paraId="48F47A74">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支持按照系统生成的健康随访名单，进行随访任务分配，可分配给管理者有权限管辖组织机构的人员；</w:t>
                  </w:r>
                </w:p>
              </w:tc>
            </w:tr>
            <w:tr w14:paraId="216E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D4C0F7C">
                  <w:pPr>
                    <w:widowControl/>
                    <w:spacing w:after="0" w:line="240" w:lineRule="auto"/>
                    <w:jc w:val="left"/>
                    <w:rPr>
                      <w:rFonts w:ascii="仿宋" w:hAnsi="仿宋" w:eastAsia="仿宋" w:cs="宋体"/>
                      <w:color w:val="000000"/>
                      <w:kern w:val="0"/>
                      <w:szCs w:val="21"/>
                    </w:rPr>
                  </w:pPr>
                </w:p>
              </w:tc>
              <w:tc>
                <w:tcPr>
                  <w:tcW w:w="992" w:type="dxa"/>
                  <w:vMerge w:val="continue"/>
                </w:tcPr>
                <w:p w14:paraId="29FAEE67">
                  <w:pPr>
                    <w:widowControl/>
                    <w:spacing w:after="0" w:line="240" w:lineRule="auto"/>
                    <w:jc w:val="left"/>
                    <w:rPr>
                      <w:rFonts w:ascii="仿宋" w:hAnsi="仿宋" w:eastAsia="仿宋" w:cs="宋体"/>
                      <w:color w:val="000000"/>
                      <w:kern w:val="0"/>
                      <w:szCs w:val="21"/>
                    </w:rPr>
                  </w:pPr>
                </w:p>
              </w:tc>
              <w:tc>
                <w:tcPr>
                  <w:tcW w:w="1134" w:type="dxa"/>
                  <w:vMerge w:val="continue"/>
                </w:tcPr>
                <w:p w14:paraId="1A989D8B">
                  <w:pPr>
                    <w:widowControl/>
                    <w:spacing w:after="0" w:line="240" w:lineRule="auto"/>
                    <w:jc w:val="left"/>
                    <w:rPr>
                      <w:rFonts w:ascii="仿宋" w:hAnsi="仿宋" w:eastAsia="仿宋" w:cs="宋体"/>
                      <w:color w:val="000000"/>
                      <w:kern w:val="0"/>
                      <w:szCs w:val="21"/>
                    </w:rPr>
                  </w:pPr>
                </w:p>
              </w:tc>
              <w:tc>
                <w:tcPr>
                  <w:tcW w:w="3477" w:type="dxa"/>
                </w:tcPr>
                <w:p w14:paraId="6BE092D8">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展示管理者分配级工作人员的随访清单，支持查看随访待随访患者清单和待随访内容；支持按照姓名、癌种、分配时间等条件搜索；</w:t>
                  </w:r>
                </w:p>
              </w:tc>
            </w:tr>
            <w:tr w14:paraId="7390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1FD58CB9">
                  <w:pPr>
                    <w:widowControl/>
                    <w:spacing w:after="0" w:line="240" w:lineRule="auto"/>
                    <w:jc w:val="left"/>
                    <w:rPr>
                      <w:rFonts w:ascii="仿宋" w:hAnsi="仿宋" w:eastAsia="仿宋" w:cs="宋体"/>
                      <w:color w:val="000000"/>
                      <w:kern w:val="0"/>
                      <w:szCs w:val="21"/>
                    </w:rPr>
                  </w:pPr>
                </w:p>
              </w:tc>
              <w:tc>
                <w:tcPr>
                  <w:tcW w:w="992" w:type="dxa"/>
                  <w:vMerge w:val="continue"/>
                </w:tcPr>
                <w:p w14:paraId="5E844D67">
                  <w:pPr>
                    <w:widowControl/>
                    <w:spacing w:after="0" w:line="240" w:lineRule="auto"/>
                    <w:jc w:val="left"/>
                    <w:rPr>
                      <w:rFonts w:ascii="仿宋" w:hAnsi="仿宋" w:eastAsia="仿宋" w:cs="宋体"/>
                      <w:color w:val="000000"/>
                      <w:kern w:val="0"/>
                      <w:szCs w:val="21"/>
                    </w:rPr>
                  </w:pPr>
                </w:p>
              </w:tc>
              <w:tc>
                <w:tcPr>
                  <w:tcW w:w="1134" w:type="dxa"/>
                  <w:vMerge w:val="continue"/>
                </w:tcPr>
                <w:p w14:paraId="149A4B1A">
                  <w:pPr>
                    <w:widowControl/>
                    <w:spacing w:after="0" w:line="240" w:lineRule="auto"/>
                    <w:jc w:val="left"/>
                    <w:rPr>
                      <w:rFonts w:ascii="仿宋" w:hAnsi="仿宋" w:eastAsia="仿宋" w:cs="宋体"/>
                      <w:color w:val="000000"/>
                      <w:kern w:val="0"/>
                      <w:szCs w:val="21"/>
                    </w:rPr>
                  </w:pPr>
                </w:p>
              </w:tc>
              <w:tc>
                <w:tcPr>
                  <w:tcW w:w="3477" w:type="dxa"/>
                </w:tcPr>
                <w:p w14:paraId="7E3FE062">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▲支持查看工作人员完成随访的患者清单，支持查看完成随访的问卷详情；支持按照姓名、癌种、分配时间、随访人员、随访时间等条件搜索；</w:t>
                  </w:r>
                </w:p>
              </w:tc>
            </w:tr>
            <w:tr w14:paraId="6977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7A870EE3">
                  <w:pPr>
                    <w:widowControl/>
                    <w:spacing w:after="0" w:line="240" w:lineRule="auto"/>
                    <w:jc w:val="left"/>
                    <w:rPr>
                      <w:rFonts w:ascii="仿宋" w:hAnsi="仿宋" w:eastAsia="仿宋" w:cs="宋体"/>
                      <w:color w:val="000000"/>
                      <w:kern w:val="0"/>
                      <w:szCs w:val="21"/>
                    </w:rPr>
                  </w:pPr>
                </w:p>
              </w:tc>
              <w:tc>
                <w:tcPr>
                  <w:tcW w:w="992" w:type="dxa"/>
                  <w:vMerge w:val="restart"/>
                </w:tcPr>
                <w:p w14:paraId="2A531A12">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统计分析</w:t>
                  </w:r>
                </w:p>
              </w:tc>
              <w:tc>
                <w:tcPr>
                  <w:tcW w:w="1134" w:type="dxa"/>
                </w:tcPr>
                <w:p w14:paraId="511BE4E7">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核心指标统计分析</w:t>
                  </w:r>
                </w:p>
              </w:tc>
              <w:tc>
                <w:tcPr>
                  <w:tcW w:w="3477" w:type="dxa"/>
                </w:tcPr>
                <w:p w14:paraId="36294CE2">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▲支持核心指标的统计，支持按照整体和各癌种做洞察决策分析；</w:t>
                  </w:r>
                </w:p>
              </w:tc>
            </w:tr>
            <w:tr w14:paraId="2D6A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1F0D768E">
                  <w:pPr>
                    <w:widowControl/>
                    <w:spacing w:after="0" w:line="240" w:lineRule="auto"/>
                    <w:jc w:val="left"/>
                    <w:rPr>
                      <w:rFonts w:ascii="仿宋" w:hAnsi="仿宋" w:eastAsia="仿宋" w:cs="宋体"/>
                      <w:color w:val="000000"/>
                      <w:kern w:val="0"/>
                      <w:szCs w:val="21"/>
                    </w:rPr>
                  </w:pPr>
                </w:p>
              </w:tc>
              <w:tc>
                <w:tcPr>
                  <w:tcW w:w="992" w:type="dxa"/>
                  <w:vMerge w:val="continue"/>
                </w:tcPr>
                <w:p w14:paraId="6289F96E">
                  <w:pPr>
                    <w:widowControl/>
                    <w:spacing w:after="0" w:line="240" w:lineRule="auto"/>
                    <w:jc w:val="left"/>
                    <w:rPr>
                      <w:rFonts w:ascii="仿宋" w:hAnsi="仿宋" w:eastAsia="仿宋" w:cs="宋体"/>
                      <w:color w:val="000000"/>
                      <w:kern w:val="0"/>
                      <w:szCs w:val="21"/>
                    </w:rPr>
                  </w:pPr>
                </w:p>
              </w:tc>
              <w:tc>
                <w:tcPr>
                  <w:tcW w:w="1134" w:type="dxa"/>
                </w:tcPr>
                <w:p w14:paraId="6232D49D">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分癌种指标统计分析</w:t>
                  </w:r>
                </w:p>
              </w:tc>
              <w:tc>
                <w:tcPr>
                  <w:tcW w:w="3477" w:type="dxa"/>
                </w:tcPr>
                <w:p w14:paraId="53137B34">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支持查看医院上线各癌种的评估人数、高危人数、筛查率、阳性检出率等分析；</w:t>
                  </w:r>
                </w:p>
              </w:tc>
            </w:tr>
            <w:tr w14:paraId="3935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629F642A">
                  <w:pPr>
                    <w:widowControl/>
                    <w:spacing w:after="0" w:line="240" w:lineRule="auto"/>
                    <w:jc w:val="left"/>
                    <w:rPr>
                      <w:rFonts w:ascii="仿宋" w:hAnsi="仿宋" w:eastAsia="仿宋" w:cs="宋体"/>
                      <w:color w:val="000000"/>
                      <w:kern w:val="0"/>
                      <w:szCs w:val="21"/>
                    </w:rPr>
                  </w:pPr>
                </w:p>
              </w:tc>
              <w:tc>
                <w:tcPr>
                  <w:tcW w:w="992" w:type="dxa"/>
                </w:tcPr>
                <w:p w14:paraId="17D2906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综合查询</w:t>
                  </w:r>
                </w:p>
              </w:tc>
              <w:tc>
                <w:tcPr>
                  <w:tcW w:w="1134" w:type="dxa"/>
                </w:tcPr>
                <w:p w14:paraId="03FA7D8A">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早诊早治患者列表</w:t>
                  </w:r>
                </w:p>
              </w:tc>
              <w:tc>
                <w:tcPr>
                  <w:tcW w:w="3477" w:type="dxa"/>
                </w:tcPr>
                <w:p w14:paraId="3BAEBA80">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▲支持按照人群维度显示风险评估过的所有患者；支持查看患者基本信息、评估情况、筛查情况；</w:t>
                  </w:r>
                </w:p>
              </w:tc>
            </w:tr>
            <w:tr w14:paraId="3922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6E7DEDD">
                  <w:pPr>
                    <w:widowControl/>
                    <w:spacing w:after="0" w:line="240" w:lineRule="auto"/>
                    <w:jc w:val="left"/>
                    <w:rPr>
                      <w:rFonts w:ascii="仿宋" w:hAnsi="仿宋" w:eastAsia="仿宋" w:cs="宋体"/>
                      <w:color w:val="000000"/>
                      <w:kern w:val="0"/>
                      <w:szCs w:val="21"/>
                    </w:rPr>
                  </w:pPr>
                </w:p>
              </w:tc>
              <w:tc>
                <w:tcPr>
                  <w:tcW w:w="992" w:type="dxa"/>
                  <w:vMerge w:val="restart"/>
                </w:tcPr>
                <w:p w14:paraId="185DB50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系统监控</w:t>
                  </w:r>
                </w:p>
              </w:tc>
              <w:tc>
                <w:tcPr>
                  <w:tcW w:w="1134" w:type="dxa"/>
                </w:tcPr>
                <w:p w14:paraId="5DF79BB9">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数据下载中心</w:t>
                  </w:r>
                </w:p>
              </w:tc>
              <w:tc>
                <w:tcPr>
                  <w:tcW w:w="3477" w:type="dxa"/>
                </w:tcPr>
                <w:p w14:paraId="7F1DE68A">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支持通过权限分配控制数据下载和导出，支持记录下载账号；</w:t>
                  </w:r>
                </w:p>
              </w:tc>
            </w:tr>
            <w:tr w14:paraId="204F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6FA2B5E2">
                  <w:pPr>
                    <w:widowControl/>
                    <w:spacing w:after="0" w:line="240" w:lineRule="auto"/>
                    <w:jc w:val="left"/>
                    <w:rPr>
                      <w:rFonts w:ascii="仿宋" w:hAnsi="仿宋" w:eastAsia="仿宋" w:cs="宋体"/>
                      <w:color w:val="000000"/>
                      <w:kern w:val="0"/>
                      <w:szCs w:val="21"/>
                    </w:rPr>
                  </w:pPr>
                </w:p>
              </w:tc>
              <w:tc>
                <w:tcPr>
                  <w:tcW w:w="992" w:type="dxa"/>
                  <w:vMerge w:val="continue"/>
                </w:tcPr>
                <w:p w14:paraId="502891BE">
                  <w:pPr>
                    <w:widowControl/>
                    <w:spacing w:after="0" w:line="240" w:lineRule="auto"/>
                    <w:jc w:val="left"/>
                    <w:rPr>
                      <w:rFonts w:ascii="仿宋" w:hAnsi="仿宋" w:eastAsia="仿宋" w:cs="宋体"/>
                      <w:color w:val="000000"/>
                      <w:kern w:val="0"/>
                      <w:szCs w:val="21"/>
                    </w:rPr>
                  </w:pPr>
                </w:p>
              </w:tc>
              <w:tc>
                <w:tcPr>
                  <w:tcW w:w="1134" w:type="dxa"/>
                </w:tcPr>
                <w:p w14:paraId="3F6BFC91">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日志统计</w:t>
                  </w:r>
                </w:p>
              </w:tc>
              <w:tc>
                <w:tcPr>
                  <w:tcW w:w="3477" w:type="dxa"/>
                </w:tcPr>
                <w:p w14:paraId="2CC518A6">
                  <w:pPr>
                    <w:widowControl/>
                    <w:spacing w:after="0" w:line="240" w:lineRule="auto"/>
                    <w:rPr>
                      <w:rFonts w:hint="eastAsia" w:ascii="仿宋" w:hAnsi="仿宋" w:eastAsia="仿宋" w:cs="宋体"/>
                      <w:color w:val="000000"/>
                      <w:kern w:val="0"/>
                      <w:szCs w:val="21"/>
                    </w:rPr>
                  </w:pPr>
                  <w:r>
                    <w:rPr>
                      <w:rFonts w:hint="eastAsia" w:ascii="仿宋" w:hAnsi="仿宋" w:eastAsia="仿宋" w:cs="宋体"/>
                      <w:color w:val="000000"/>
                      <w:kern w:val="0"/>
                      <w:szCs w:val="21"/>
                    </w:rPr>
                    <w:t>记录平台用户操作记录</w:t>
                  </w:r>
                </w:p>
              </w:tc>
            </w:tr>
            <w:tr w14:paraId="4E8F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13719FF">
                  <w:pPr>
                    <w:widowControl/>
                    <w:spacing w:after="0" w:line="240" w:lineRule="auto"/>
                    <w:jc w:val="left"/>
                    <w:rPr>
                      <w:rFonts w:ascii="仿宋" w:hAnsi="仿宋" w:eastAsia="仿宋" w:cs="宋体"/>
                      <w:color w:val="000000"/>
                      <w:kern w:val="0"/>
                      <w:szCs w:val="21"/>
                    </w:rPr>
                  </w:pPr>
                </w:p>
              </w:tc>
              <w:tc>
                <w:tcPr>
                  <w:tcW w:w="992" w:type="dxa"/>
                  <w:vMerge w:val="restart"/>
                </w:tcPr>
                <w:p w14:paraId="59ED18E3">
                  <w:pPr>
                    <w:widowControl/>
                    <w:spacing w:after="0" w:line="240" w:lineRule="auto"/>
                    <w:jc w:val="center"/>
                    <w:rPr>
                      <w:rFonts w:hint="eastAsia" w:ascii="仿宋" w:hAnsi="仿宋" w:eastAsia="仿宋" w:cs="宋体"/>
                      <w:color w:val="000000"/>
                      <w:kern w:val="0"/>
                      <w:szCs w:val="21"/>
                    </w:rPr>
                  </w:pPr>
                  <w:r>
                    <w:rPr>
                      <w:rFonts w:hint="eastAsia" w:ascii="仿宋" w:hAnsi="仿宋" w:eastAsia="仿宋" w:cs="宋体"/>
                      <w:color w:val="000000"/>
                      <w:kern w:val="0"/>
                      <w:szCs w:val="21"/>
                    </w:rPr>
                    <w:t>后台管理（向日葵）</w:t>
                  </w:r>
                </w:p>
              </w:tc>
              <w:tc>
                <w:tcPr>
                  <w:tcW w:w="1134" w:type="dxa"/>
                </w:tcPr>
                <w:p w14:paraId="77E0A0B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菜单管理</w:t>
                  </w:r>
                </w:p>
              </w:tc>
              <w:tc>
                <w:tcPr>
                  <w:tcW w:w="3477" w:type="dxa"/>
                </w:tcPr>
                <w:p w14:paraId="7F828E0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配置平台所属菜单及路径</w:t>
                  </w:r>
                </w:p>
              </w:tc>
            </w:tr>
            <w:tr w14:paraId="3348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77B98740">
                  <w:pPr>
                    <w:widowControl/>
                    <w:spacing w:after="0" w:line="240" w:lineRule="auto"/>
                    <w:jc w:val="left"/>
                    <w:rPr>
                      <w:rFonts w:ascii="仿宋" w:hAnsi="仿宋" w:eastAsia="仿宋" w:cs="宋体"/>
                      <w:color w:val="000000"/>
                      <w:kern w:val="0"/>
                      <w:szCs w:val="21"/>
                    </w:rPr>
                  </w:pPr>
                </w:p>
              </w:tc>
              <w:tc>
                <w:tcPr>
                  <w:tcW w:w="992" w:type="dxa"/>
                  <w:vMerge w:val="continue"/>
                </w:tcPr>
                <w:p w14:paraId="2386A06E">
                  <w:pPr>
                    <w:widowControl/>
                    <w:spacing w:after="0" w:line="240" w:lineRule="auto"/>
                    <w:jc w:val="left"/>
                    <w:rPr>
                      <w:rFonts w:ascii="仿宋" w:hAnsi="仿宋" w:eastAsia="仿宋" w:cs="宋体"/>
                      <w:color w:val="000000"/>
                      <w:kern w:val="0"/>
                      <w:szCs w:val="21"/>
                    </w:rPr>
                  </w:pPr>
                </w:p>
              </w:tc>
              <w:tc>
                <w:tcPr>
                  <w:tcW w:w="1134" w:type="dxa"/>
                </w:tcPr>
                <w:p w14:paraId="7EC5714D">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角色管理</w:t>
                  </w:r>
                </w:p>
              </w:tc>
              <w:tc>
                <w:tcPr>
                  <w:tcW w:w="3477" w:type="dxa"/>
                </w:tcPr>
                <w:p w14:paraId="779892E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支持新增/编辑/删除角色的功能菜单，初始化角色“市卫健委管理员”</w:t>
                  </w:r>
                </w:p>
              </w:tc>
            </w:tr>
            <w:tr w14:paraId="6E306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022AA442">
                  <w:pPr>
                    <w:widowControl/>
                    <w:spacing w:after="0" w:line="240" w:lineRule="auto"/>
                    <w:jc w:val="left"/>
                    <w:rPr>
                      <w:rFonts w:ascii="仿宋" w:hAnsi="仿宋" w:eastAsia="仿宋" w:cs="宋体"/>
                      <w:color w:val="000000"/>
                      <w:kern w:val="0"/>
                      <w:szCs w:val="21"/>
                    </w:rPr>
                  </w:pPr>
                </w:p>
              </w:tc>
              <w:tc>
                <w:tcPr>
                  <w:tcW w:w="992" w:type="dxa"/>
                  <w:vMerge w:val="continue"/>
                </w:tcPr>
                <w:p w14:paraId="38EC2F93">
                  <w:pPr>
                    <w:widowControl/>
                    <w:spacing w:after="0" w:line="240" w:lineRule="auto"/>
                    <w:jc w:val="left"/>
                    <w:rPr>
                      <w:rFonts w:ascii="仿宋" w:hAnsi="仿宋" w:eastAsia="仿宋" w:cs="宋体"/>
                      <w:color w:val="000000"/>
                      <w:kern w:val="0"/>
                      <w:szCs w:val="21"/>
                    </w:rPr>
                  </w:pPr>
                </w:p>
              </w:tc>
              <w:tc>
                <w:tcPr>
                  <w:tcW w:w="1134" w:type="dxa"/>
                </w:tcPr>
                <w:p w14:paraId="57E9EBB3">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组织管理</w:t>
                  </w:r>
                </w:p>
              </w:tc>
              <w:tc>
                <w:tcPr>
                  <w:tcW w:w="3477" w:type="dxa"/>
                </w:tcPr>
                <w:p w14:paraId="440425F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支持新增/编辑/删除组织，初始化组织“卫健委管理部门”</w:t>
                  </w:r>
                </w:p>
              </w:tc>
            </w:tr>
            <w:tr w14:paraId="7FB4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21EB621">
                  <w:pPr>
                    <w:widowControl/>
                    <w:spacing w:after="0" w:line="240" w:lineRule="auto"/>
                    <w:jc w:val="left"/>
                    <w:rPr>
                      <w:rFonts w:ascii="仿宋" w:hAnsi="仿宋" w:eastAsia="仿宋" w:cs="宋体"/>
                      <w:color w:val="000000"/>
                      <w:kern w:val="0"/>
                      <w:szCs w:val="21"/>
                    </w:rPr>
                  </w:pPr>
                </w:p>
              </w:tc>
              <w:tc>
                <w:tcPr>
                  <w:tcW w:w="992" w:type="dxa"/>
                  <w:vMerge w:val="continue"/>
                </w:tcPr>
                <w:p w14:paraId="7F3DED92">
                  <w:pPr>
                    <w:widowControl/>
                    <w:spacing w:after="0" w:line="240" w:lineRule="auto"/>
                    <w:jc w:val="left"/>
                    <w:rPr>
                      <w:rFonts w:ascii="仿宋" w:hAnsi="仿宋" w:eastAsia="仿宋" w:cs="宋体"/>
                      <w:color w:val="000000"/>
                      <w:kern w:val="0"/>
                      <w:szCs w:val="21"/>
                    </w:rPr>
                  </w:pPr>
                </w:p>
              </w:tc>
              <w:tc>
                <w:tcPr>
                  <w:tcW w:w="1134" w:type="dxa"/>
                </w:tcPr>
                <w:p w14:paraId="05CFF53A">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用户管理</w:t>
                  </w:r>
                </w:p>
              </w:tc>
              <w:tc>
                <w:tcPr>
                  <w:tcW w:w="3477" w:type="dxa"/>
                </w:tcPr>
                <w:p w14:paraId="15FF56DD">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给用户分配产品权限及数据权限</w:t>
                  </w:r>
                </w:p>
              </w:tc>
            </w:tr>
            <w:tr w14:paraId="6D6A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ADE913A">
                  <w:pPr>
                    <w:widowControl/>
                    <w:spacing w:after="0" w:line="240" w:lineRule="auto"/>
                    <w:jc w:val="left"/>
                    <w:rPr>
                      <w:rFonts w:ascii="仿宋" w:hAnsi="仿宋" w:eastAsia="仿宋" w:cs="宋体"/>
                      <w:color w:val="000000"/>
                      <w:kern w:val="0"/>
                      <w:szCs w:val="21"/>
                    </w:rPr>
                  </w:pPr>
                </w:p>
              </w:tc>
              <w:tc>
                <w:tcPr>
                  <w:tcW w:w="992" w:type="dxa"/>
                  <w:vMerge w:val="continue"/>
                </w:tcPr>
                <w:p w14:paraId="07762FAC">
                  <w:pPr>
                    <w:widowControl/>
                    <w:spacing w:after="0" w:line="240" w:lineRule="auto"/>
                    <w:jc w:val="left"/>
                    <w:rPr>
                      <w:rFonts w:ascii="仿宋" w:hAnsi="仿宋" w:eastAsia="仿宋" w:cs="宋体"/>
                      <w:color w:val="000000"/>
                      <w:kern w:val="0"/>
                      <w:szCs w:val="21"/>
                    </w:rPr>
                  </w:pPr>
                </w:p>
              </w:tc>
              <w:tc>
                <w:tcPr>
                  <w:tcW w:w="1134" w:type="dxa"/>
                </w:tcPr>
                <w:p w14:paraId="5C0F858A">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上线癌种及指标管理</w:t>
                  </w:r>
                </w:p>
              </w:tc>
              <w:tc>
                <w:tcPr>
                  <w:tcW w:w="3477" w:type="dxa"/>
                </w:tcPr>
                <w:p w14:paraId="5A82F7D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控制上线癌种和考核监测指标的显隐</w:t>
                  </w:r>
                </w:p>
              </w:tc>
            </w:tr>
            <w:tr w14:paraId="10F3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8DA2855">
                  <w:pPr>
                    <w:widowControl/>
                    <w:spacing w:after="0" w:line="240" w:lineRule="auto"/>
                    <w:jc w:val="left"/>
                    <w:rPr>
                      <w:rFonts w:ascii="仿宋" w:hAnsi="仿宋" w:eastAsia="仿宋" w:cs="宋体"/>
                      <w:color w:val="000000"/>
                      <w:kern w:val="0"/>
                      <w:szCs w:val="21"/>
                    </w:rPr>
                  </w:pPr>
                </w:p>
              </w:tc>
              <w:tc>
                <w:tcPr>
                  <w:tcW w:w="992" w:type="dxa"/>
                  <w:vMerge w:val="continue"/>
                </w:tcPr>
                <w:p w14:paraId="244A1415">
                  <w:pPr>
                    <w:widowControl/>
                    <w:spacing w:after="0" w:line="240" w:lineRule="auto"/>
                    <w:jc w:val="left"/>
                    <w:rPr>
                      <w:rFonts w:ascii="仿宋" w:hAnsi="仿宋" w:eastAsia="仿宋" w:cs="宋体"/>
                      <w:color w:val="000000"/>
                      <w:kern w:val="0"/>
                      <w:szCs w:val="21"/>
                    </w:rPr>
                  </w:pPr>
                </w:p>
              </w:tc>
              <w:tc>
                <w:tcPr>
                  <w:tcW w:w="1134" w:type="dxa"/>
                  <w:vMerge w:val="restart"/>
                </w:tcPr>
                <w:p w14:paraId="48F11CE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知情同意书管理</w:t>
                  </w:r>
                </w:p>
              </w:tc>
              <w:tc>
                <w:tcPr>
                  <w:tcW w:w="3477" w:type="dxa"/>
                </w:tcPr>
                <w:p w14:paraId="64EDC6D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维护平台是否启用知情同意书</w:t>
                  </w:r>
                </w:p>
              </w:tc>
            </w:tr>
            <w:tr w14:paraId="3D03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8FBF485">
                  <w:pPr>
                    <w:widowControl/>
                    <w:spacing w:after="0" w:line="240" w:lineRule="auto"/>
                    <w:jc w:val="left"/>
                    <w:rPr>
                      <w:rFonts w:ascii="仿宋" w:hAnsi="仿宋" w:eastAsia="仿宋" w:cs="宋体"/>
                      <w:color w:val="000000"/>
                      <w:kern w:val="0"/>
                      <w:szCs w:val="21"/>
                    </w:rPr>
                  </w:pPr>
                </w:p>
              </w:tc>
              <w:tc>
                <w:tcPr>
                  <w:tcW w:w="992" w:type="dxa"/>
                  <w:vMerge w:val="continue"/>
                </w:tcPr>
                <w:p w14:paraId="54E068A2">
                  <w:pPr>
                    <w:widowControl/>
                    <w:spacing w:after="0" w:line="240" w:lineRule="auto"/>
                    <w:jc w:val="left"/>
                    <w:rPr>
                      <w:rFonts w:ascii="仿宋" w:hAnsi="仿宋" w:eastAsia="仿宋" w:cs="宋体"/>
                      <w:color w:val="000000"/>
                      <w:kern w:val="0"/>
                      <w:szCs w:val="21"/>
                    </w:rPr>
                  </w:pPr>
                </w:p>
              </w:tc>
              <w:tc>
                <w:tcPr>
                  <w:tcW w:w="1134" w:type="dxa"/>
                  <w:vMerge w:val="continue"/>
                </w:tcPr>
                <w:p w14:paraId="401AF248">
                  <w:pPr>
                    <w:widowControl/>
                    <w:spacing w:after="0" w:line="240" w:lineRule="auto"/>
                    <w:jc w:val="left"/>
                    <w:rPr>
                      <w:rFonts w:ascii="仿宋" w:hAnsi="仿宋" w:eastAsia="仿宋" w:cs="宋体"/>
                      <w:color w:val="000000"/>
                      <w:kern w:val="0"/>
                      <w:szCs w:val="21"/>
                    </w:rPr>
                  </w:pPr>
                </w:p>
              </w:tc>
              <w:tc>
                <w:tcPr>
                  <w:tcW w:w="3477" w:type="dxa"/>
                </w:tcPr>
                <w:p w14:paraId="64CD8F6B">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维护平台使用的知情同意书</w:t>
                  </w:r>
                  <w:r>
                    <w:rPr>
                      <w:rFonts w:hint="eastAsia" w:ascii="仿宋" w:hAnsi="仿宋" w:eastAsia="仿宋" w:cs="宋体"/>
                      <w:color w:val="000000"/>
                      <w:kern w:val="0"/>
                      <w:szCs w:val="21"/>
                      <w:lang w:val="en-US" w:eastAsia="zh-CN"/>
                    </w:rPr>
                    <w:t>模板</w:t>
                  </w:r>
                  <w:r>
                    <w:rPr>
                      <w:rFonts w:hint="eastAsia" w:ascii="仿宋" w:hAnsi="仿宋" w:eastAsia="仿宋" w:cs="宋体"/>
                      <w:color w:val="000000"/>
                      <w:kern w:val="0"/>
                      <w:szCs w:val="21"/>
                    </w:rPr>
                    <w:t>内容，支持发布和停止发布等操作</w:t>
                  </w:r>
                </w:p>
              </w:tc>
            </w:tr>
            <w:tr w14:paraId="234A5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8892903">
                  <w:pPr>
                    <w:widowControl/>
                    <w:spacing w:after="0" w:line="240" w:lineRule="auto"/>
                    <w:jc w:val="left"/>
                    <w:rPr>
                      <w:rFonts w:ascii="仿宋" w:hAnsi="仿宋" w:eastAsia="仿宋" w:cs="宋体"/>
                      <w:color w:val="000000"/>
                      <w:kern w:val="0"/>
                      <w:szCs w:val="21"/>
                    </w:rPr>
                  </w:pPr>
                </w:p>
              </w:tc>
              <w:tc>
                <w:tcPr>
                  <w:tcW w:w="992" w:type="dxa"/>
                  <w:vMerge w:val="continue"/>
                </w:tcPr>
                <w:p w14:paraId="20F72D6F">
                  <w:pPr>
                    <w:widowControl/>
                    <w:spacing w:after="0" w:line="240" w:lineRule="auto"/>
                    <w:jc w:val="left"/>
                    <w:rPr>
                      <w:rFonts w:ascii="仿宋" w:hAnsi="仿宋" w:eastAsia="仿宋" w:cs="宋体"/>
                      <w:color w:val="000000"/>
                      <w:kern w:val="0"/>
                      <w:szCs w:val="21"/>
                    </w:rPr>
                  </w:pPr>
                </w:p>
              </w:tc>
              <w:tc>
                <w:tcPr>
                  <w:tcW w:w="1134" w:type="dxa"/>
                  <w:vMerge w:val="restart"/>
                </w:tcPr>
                <w:p w14:paraId="4596D0E4">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评估管理</w:t>
                  </w:r>
                </w:p>
              </w:tc>
              <w:tc>
                <w:tcPr>
                  <w:tcW w:w="3477" w:type="dxa"/>
                </w:tcPr>
                <w:p w14:paraId="45D8A54D">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维护问卷的原始题目，支持单选题、多选题、填空题的设</w:t>
                  </w:r>
                  <w:bookmarkStart w:id="0" w:name="_GoBack"/>
                  <w:bookmarkEnd w:id="0"/>
                  <w:r>
                    <w:rPr>
                      <w:rFonts w:hint="eastAsia" w:ascii="仿宋" w:hAnsi="仿宋" w:eastAsia="仿宋" w:cs="宋体"/>
                      <w:color w:val="000000"/>
                      <w:kern w:val="0"/>
                      <w:szCs w:val="21"/>
                    </w:rPr>
                    <w:t>置</w:t>
                  </w:r>
                </w:p>
              </w:tc>
            </w:tr>
            <w:tr w14:paraId="1026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764859DC">
                  <w:pPr>
                    <w:widowControl/>
                    <w:spacing w:after="0" w:line="240" w:lineRule="auto"/>
                    <w:jc w:val="left"/>
                    <w:rPr>
                      <w:rFonts w:ascii="仿宋" w:hAnsi="仿宋" w:eastAsia="仿宋" w:cs="宋体"/>
                      <w:color w:val="000000"/>
                      <w:kern w:val="0"/>
                      <w:szCs w:val="21"/>
                    </w:rPr>
                  </w:pPr>
                </w:p>
              </w:tc>
              <w:tc>
                <w:tcPr>
                  <w:tcW w:w="992" w:type="dxa"/>
                  <w:vMerge w:val="continue"/>
                </w:tcPr>
                <w:p w14:paraId="50AC47F4">
                  <w:pPr>
                    <w:widowControl/>
                    <w:spacing w:after="0" w:line="240" w:lineRule="auto"/>
                    <w:jc w:val="left"/>
                    <w:rPr>
                      <w:rFonts w:ascii="仿宋" w:hAnsi="仿宋" w:eastAsia="仿宋" w:cs="宋体"/>
                      <w:color w:val="000000"/>
                      <w:kern w:val="0"/>
                      <w:szCs w:val="21"/>
                    </w:rPr>
                  </w:pPr>
                </w:p>
              </w:tc>
              <w:tc>
                <w:tcPr>
                  <w:tcW w:w="1134" w:type="dxa"/>
                  <w:vMerge w:val="continue"/>
                </w:tcPr>
                <w:p w14:paraId="7C513F5E">
                  <w:pPr>
                    <w:widowControl/>
                    <w:spacing w:after="0" w:line="240" w:lineRule="auto"/>
                    <w:jc w:val="left"/>
                    <w:rPr>
                      <w:rFonts w:ascii="仿宋" w:hAnsi="仿宋" w:eastAsia="仿宋" w:cs="宋体"/>
                      <w:color w:val="000000"/>
                      <w:kern w:val="0"/>
                      <w:szCs w:val="21"/>
                    </w:rPr>
                  </w:pPr>
                </w:p>
              </w:tc>
              <w:tc>
                <w:tcPr>
                  <w:tcW w:w="3477" w:type="dxa"/>
                </w:tcPr>
                <w:p w14:paraId="53F8F049">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维护使用问卷的纳入和排除条件</w:t>
                  </w:r>
                </w:p>
              </w:tc>
            </w:tr>
            <w:tr w14:paraId="517C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14B7982">
                  <w:pPr>
                    <w:widowControl/>
                    <w:spacing w:after="0" w:line="240" w:lineRule="auto"/>
                    <w:jc w:val="left"/>
                    <w:rPr>
                      <w:rFonts w:ascii="仿宋" w:hAnsi="仿宋" w:eastAsia="仿宋" w:cs="宋体"/>
                      <w:color w:val="000000"/>
                      <w:kern w:val="0"/>
                      <w:szCs w:val="21"/>
                    </w:rPr>
                  </w:pPr>
                </w:p>
              </w:tc>
              <w:tc>
                <w:tcPr>
                  <w:tcW w:w="992" w:type="dxa"/>
                  <w:vMerge w:val="continue"/>
                </w:tcPr>
                <w:p w14:paraId="0781559C">
                  <w:pPr>
                    <w:widowControl/>
                    <w:spacing w:after="0" w:line="240" w:lineRule="auto"/>
                    <w:jc w:val="left"/>
                    <w:rPr>
                      <w:rFonts w:ascii="仿宋" w:hAnsi="仿宋" w:eastAsia="仿宋" w:cs="宋体"/>
                      <w:color w:val="000000"/>
                      <w:kern w:val="0"/>
                      <w:szCs w:val="21"/>
                    </w:rPr>
                  </w:pPr>
                </w:p>
              </w:tc>
              <w:tc>
                <w:tcPr>
                  <w:tcW w:w="1134" w:type="dxa"/>
                  <w:vMerge w:val="continue"/>
                </w:tcPr>
                <w:p w14:paraId="07BDEBEF">
                  <w:pPr>
                    <w:widowControl/>
                    <w:spacing w:after="0" w:line="240" w:lineRule="auto"/>
                    <w:jc w:val="left"/>
                    <w:rPr>
                      <w:rFonts w:ascii="仿宋" w:hAnsi="仿宋" w:eastAsia="仿宋" w:cs="宋体"/>
                      <w:color w:val="000000"/>
                      <w:kern w:val="0"/>
                      <w:szCs w:val="21"/>
                    </w:rPr>
                  </w:pPr>
                </w:p>
              </w:tc>
              <w:tc>
                <w:tcPr>
                  <w:tcW w:w="3477" w:type="dxa"/>
                </w:tcPr>
                <w:p w14:paraId="1C10F463">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通过引用评估题目和评估纳排条件，生成问卷</w:t>
                  </w:r>
                </w:p>
              </w:tc>
            </w:tr>
            <w:tr w14:paraId="33A6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5102C67">
                  <w:pPr>
                    <w:widowControl/>
                    <w:spacing w:after="0" w:line="240" w:lineRule="auto"/>
                    <w:jc w:val="left"/>
                    <w:rPr>
                      <w:rFonts w:ascii="仿宋" w:hAnsi="仿宋" w:eastAsia="仿宋" w:cs="宋体"/>
                      <w:color w:val="000000"/>
                      <w:kern w:val="0"/>
                      <w:szCs w:val="21"/>
                    </w:rPr>
                  </w:pPr>
                </w:p>
              </w:tc>
              <w:tc>
                <w:tcPr>
                  <w:tcW w:w="992" w:type="dxa"/>
                  <w:vMerge w:val="continue"/>
                </w:tcPr>
                <w:p w14:paraId="78844255">
                  <w:pPr>
                    <w:widowControl/>
                    <w:spacing w:after="0" w:line="240" w:lineRule="auto"/>
                    <w:jc w:val="left"/>
                    <w:rPr>
                      <w:rFonts w:ascii="仿宋" w:hAnsi="仿宋" w:eastAsia="仿宋" w:cs="宋体"/>
                      <w:color w:val="000000"/>
                      <w:kern w:val="0"/>
                      <w:szCs w:val="21"/>
                    </w:rPr>
                  </w:pPr>
                </w:p>
              </w:tc>
              <w:tc>
                <w:tcPr>
                  <w:tcW w:w="1134" w:type="dxa"/>
                  <w:vMerge w:val="continue"/>
                </w:tcPr>
                <w:p w14:paraId="04F1ABB2">
                  <w:pPr>
                    <w:widowControl/>
                    <w:spacing w:after="0" w:line="240" w:lineRule="auto"/>
                    <w:jc w:val="left"/>
                    <w:rPr>
                      <w:rFonts w:ascii="仿宋" w:hAnsi="仿宋" w:eastAsia="仿宋" w:cs="宋体"/>
                      <w:color w:val="000000"/>
                      <w:kern w:val="0"/>
                      <w:szCs w:val="21"/>
                    </w:rPr>
                  </w:pPr>
                </w:p>
              </w:tc>
              <w:tc>
                <w:tcPr>
                  <w:tcW w:w="3477" w:type="dxa"/>
                </w:tcPr>
                <w:p w14:paraId="46548608">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维护七癌种的高危因素及触发条件</w:t>
                  </w:r>
                </w:p>
              </w:tc>
            </w:tr>
            <w:tr w14:paraId="2A89C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1340215">
                  <w:pPr>
                    <w:widowControl/>
                    <w:spacing w:after="0" w:line="240" w:lineRule="auto"/>
                    <w:jc w:val="left"/>
                    <w:rPr>
                      <w:rFonts w:ascii="仿宋" w:hAnsi="仿宋" w:eastAsia="仿宋" w:cs="宋体"/>
                      <w:color w:val="000000"/>
                      <w:kern w:val="0"/>
                      <w:szCs w:val="21"/>
                    </w:rPr>
                  </w:pPr>
                </w:p>
              </w:tc>
              <w:tc>
                <w:tcPr>
                  <w:tcW w:w="992" w:type="dxa"/>
                  <w:vMerge w:val="continue"/>
                </w:tcPr>
                <w:p w14:paraId="6340A9F5">
                  <w:pPr>
                    <w:widowControl/>
                    <w:spacing w:after="0" w:line="240" w:lineRule="auto"/>
                    <w:jc w:val="left"/>
                    <w:rPr>
                      <w:rFonts w:ascii="仿宋" w:hAnsi="仿宋" w:eastAsia="仿宋" w:cs="宋体"/>
                      <w:color w:val="000000"/>
                      <w:kern w:val="0"/>
                      <w:szCs w:val="21"/>
                    </w:rPr>
                  </w:pPr>
                </w:p>
              </w:tc>
              <w:tc>
                <w:tcPr>
                  <w:tcW w:w="1134" w:type="dxa"/>
                  <w:vMerge w:val="continue"/>
                </w:tcPr>
                <w:p w14:paraId="42C4FD09">
                  <w:pPr>
                    <w:widowControl/>
                    <w:spacing w:after="0" w:line="240" w:lineRule="auto"/>
                    <w:jc w:val="left"/>
                    <w:rPr>
                      <w:rFonts w:ascii="仿宋" w:hAnsi="仿宋" w:eastAsia="仿宋" w:cs="宋体"/>
                      <w:color w:val="000000"/>
                      <w:kern w:val="0"/>
                      <w:szCs w:val="21"/>
                    </w:rPr>
                  </w:pPr>
                </w:p>
              </w:tc>
              <w:tc>
                <w:tcPr>
                  <w:tcW w:w="3477" w:type="dxa"/>
                </w:tcPr>
                <w:p w14:paraId="1A2C24BA">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维护评估结果的提示内容及筛查项目的推荐展示</w:t>
                  </w:r>
                </w:p>
              </w:tc>
            </w:tr>
            <w:tr w14:paraId="4949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01BCDC4A">
                  <w:pPr>
                    <w:widowControl/>
                    <w:spacing w:after="0" w:line="240" w:lineRule="auto"/>
                    <w:jc w:val="left"/>
                    <w:rPr>
                      <w:rFonts w:ascii="仿宋" w:hAnsi="仿宋" w:eastAsia="仿宋" w:cs="宋体"/>
                      <w:color w:val="000000"/>
                      <w:kern w:val="0"/>
                      <w:szCs w:val="21"/>
                    </w:rPr>
                  </w:pPr>
                </w:p>
              </w:tc>
              <w:tc>
                <w:tcPr>
                  <w:tcW w:w="992" w:type="dxa"/>
                  <w:vMerge w:val="continue"/>
                </w:tcPr>
                <w:p w14:paraId="455BAF77">
                  <w:pPr>
                    <w:widowControl/>
                    <w:spacing w:after="0" w:line="240" w:lineRule="auto"/>
                    <w:jc w:val="left"/>
                    <w:rPr>
                      <w:rFonts w:ascii="仿宋" w:hAnsi="仿宋" w:eastAsia="仿宋" w:cs="宋体"/>
                      <w:color w:val="000000"/>
                      <w:kern w:val="0"/>
                      <w:szCs w:val="21"/>
                    </w:rPr>
                  </w:pPr>
                </w:p>
              </w:tc>
              <w:tc>
                <w:tcPr>
                  <w:tcW w:w="1134" w:type="dxa"/>
                </w:tcPr>
                <w:p w14:paraId="696744F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筛查报告管理</w:t>
                  </w:r>
                </w:p>
              </w:tc>
              <w:tc>
                <w:tcPr>
                  <w:tcW w:w="3477" w:type="dxa"/>
                </w:tcPr>
                <w:p w14:paraId="39CEB02C">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维护推理筛查报告的各项阳性条件和推理过程维护</w:t>
                  </w:r>
                </w:p>
              </w:tc>
            </w:tr>
            <w:tr w14:paraId="5111E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1CB6CA4C">
                  <w:pPr>
                    <w:widowControl/>
                    <w:spacing w:after="0" w:line="240" w:lineRule="auto"/>
                    <w:jc w:val="left"/>
                    <w:rPr>
                      <w:rFonts w:ascii="仿宋" w:hAnsi="仿宋" w:eastAsia="仿宋" w:cs="宋体"/>
                      <w:color w:val="000000"/>
                      <w:kern w:val="0"/>
                      <w:szCs w:val="21"/>
                    </w:rPr>
                  </w:pPr>
                </w:p>
              </w:tc>
              <w:tc>
                <w:tcPr>
                  <w:tcW w:w="992" w:type="dxa"/>
                  <w:vMerge w:val="continue"/>
                </w:tcPr>
                <w:p w14:paraId="2B7B7B09">
                  <w:pPr>
                    <w:widowControl/>
                    <w:spacing w:after="0" w:line="240" w:lineRule="auto"/>
                    <w:jc w:val="left"/>
                    <w:rPr>
                      <w:rFonts w:ascii="仿宋" w:hAnsi="仿宋" w:eastAsia="仿宋" w:cs="宋体"/>
                      <w:color w:val="000000"/>
                      <w:kern w:val="0"/>
                      <w:szCs w:val="21"/>
                    </w:rPr>
                  </w:pPr>
                </w:p>
              </w:tc>
              <w:tc>
                <w:tcPr>
                  <w:tcW w:w="1134" w:type="dxa"/>
                  <w:vMerge w:val="restart"/>
                </w:tcPr>
                <w:p w14:paraId="3B2BCF4D">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筛查项目管理</w:t>
                  </w:r>
                </w:p>
              </w:tc>
              <w:tc>
                <w:tcPr>
                  <w:tcW w:w="3477" w:type="dxa"/>
                </w:tcPr>
                <w:p w14:paraId="1ABC9E4F">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维护关于筛查的基础配置信息，如居民端筛查自动预约开关、医生端自动推筛查开关等</w:t>
                  </w:r>
                </w:p>
              </w:tc>
            </w:tr>
            <w:tr w14:paraId="30F1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7EFE341">
                  <w:pPr>
                    <w:widowControl/>
                    <w:spacing w:after="0" w:line="240" w:lineRule="auto"/>
                    <w:jc w:val="left"/>
                    <w:rPr>
                      <w:rFonts w:ascii="仿宋" w:hAnsi="仿宋" w:eastAsia="仿宋" w:cs="宋体"/>
                      <w:color w:val="000000"/>
                      <w:kern w:val="0"/>
                      <w:szCs w:val="21"/>
                    </w:rPr>
                  </w:pPr>
                </w:p>
              </w:tc>
              <w:tc>
                <w:tcPr>
                  <w:tcW w:w="992" w:type="dxa"/>
                  <w:vMerge w:val="continue"/>
                </w:tcPr>
                <w:p w14:paraId="08EE01F1">
                  <w:pPr>
                    <w:widowControl/>
                    <w:spacing w:after="0" w:line="240" w:lineRule="auto"/>
                    <w:jc w:val="left"/>
                    <w:rPr>
                      <w:rFonts w:ascii="仿宋" w:hAnsi="仿宋" w:eastAsia="仿宋" w:cs="宋体"/>
                      <w:color w:val="000000"/>
                      <w:kern w:val="0"/>
                      <w:szCs w:val="21"/>
                    </w:rPr>
                  </w:pPr>
                </w:p>
              </w:tc>
              <w:tc>
                <w:tcPr>
                  <w:tcW w:w="1134" w:type="dxa"/>
                  <w:vMerge w:val="continue"/>
                </w:tcPr>
                <w:p w14:paraId="2DCD3F69">
                  <w:pPr>
                    <w:widowControl/>
                    <w:spacing w:after="0" w:line="240" w:lineRule="auto"/>
                    <w:jc w:val="left"/>
                    <w:rPr>
                      <w:rFonts w:ascii="仿宋" w:hAnsi="仿宋" w:eastAsia="仿宋" w:cs="宋体"/>
                      <w:color w:val="000000"/>
                      <w:kern w:val="0"/>
                      <w:szCs w:val="21"/>
                    </w:rPr>
                  </w:pPr>
                </w:p>
              </w:tc>
              <w:tc>
                <w:tcPr>
                  <w:tcW w:w="3477" w:type="dxa"/>
                </w:tcPr>
                <w:p w14:paraId="36067636">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维护七癌种内置的标准筛查项目和标准筛查项目关联的同类筛查项目的对照</w:t>
                  </w:r>
                </w:p>
              </w:tc>
            </w:tr>
            <w:tr w14:paraId="15ADD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81248C7">
                  <w:pPr>
                    <w:widowControl/>
                    <w:spacing w:after="0" w:line="240" w:lineRule="auto"/>
                    <w:jc w:val="left"/>
                    <w:rPr>
                      <w:rFonts w:ascii="仿宋" w:hAnsi="仿宋" w:eastAsia="仿宋" w:cs="宋体"/>
                      <w:color w:val="000000"/>
                      <w:kern w:val="0"/>
                      <w:szCs w:val="21"/>
                    </w:rPr>
                  </w:pPr>
                </w:p>
              </w:tc>
              <w:tc>
                <w:tcPr>
                  <w:tcW w:w="992" w:type="dxa"/>
                  <w:vMerge w:val="continue"/>
                </w:tcPr>
                <w:p w14:paraId="007EE106">
                  <w:pPr>
                    <w:widowControl/>
                    <w:spacing w:after="0" w:line="240" w:lineRule="auto"/>
                    <w:jc w:val="left"/>
                    <w:rPr>
                      <w:rFonts w:ascii="仿宋" w:hAnsi="仿宋" w:eastAsia="仿宋" w:cs="宋体"/>
                      <w:color w:val="000000"/>
                      <w:kern w:val="0"/>
                      <w:szCs w:val="21"/>
                    </w:rPr>
                  </w:pPr>
                </w:p>
              </w:tc>
              <w:tc>
                <w:tcPr>
                  <w:tcW w:w="1134" w:type="dxa"/>
                  <w:vMerge w:val="restart"/>
                </w:tcPr>
                <w:p w14:paraId="1E8B57C8">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筛查机构管理</w:t>
                  </w:r>
                </w:p>
              </w:tc>
              <w:tc>
                <w:tcPr>
                  <w:tcW w:w="3477" w:type="dxa"/>
                </w:tcPr>
                <w:p w14:paraId="62B35AC3">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筛查机构管理</w:t>
                  </w:r>
                </w:p>
              </w:tc>
            </w:tr>
            <w:tr w14:paraId="6307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A431C09">
                  <w:pPr>
                    <w:widowControl/>
                    <w:spacing w:after="0" w:line="240" w:lineRule="auto"/>
                    <w:jc w:val="left"/>
                    <w:rPr>
                      <w:rFonts w:ascii="仿宋" w:hAnsi="仿宋" w:eastAsia="仿宋" w:cs="宋体"/>
                      <w:color w:val="000000"/>
                      <w:kern w:val="0"/>
                      <w:szCs w:val="21"/>
                    </w:rPr>
                  </w:pPr>
                </w:p>
              </w:tc>
              <w:tc>
                <w:tcPr>
                  <w:tcW w:w="992" w:type="dxa"/>
                  <w:vMerge w:val="continue"/>
                </w:tcPr>
                <w:p w14:paraId="0B9752AD">
                  <w:pPr>
                    <w:widowControl/>
                    <w:spacing w:after="0" w:line="240" w:lineRule="auto"/>
                    <w:jc w:val="left"/>
                    <w:rPr>
                      <w:rFonts w:ascii="仿宋" w:hAnsi="仿宋" w:eastAsia="仿宋" w:cs="宋体"/>
                      <w:color w:val="000000"/>
                      <w:kern w:val="0"/>
                      <w:szCs w:val="21"/>
                    </w:rPr>
                  </w:pPr>
                </w:p>
              </w:tc>
              <w:tc>
                <w:tcPr>
                  <w:tcW w:w="1134" w:type="dxa"/>
                  <w:vMerge w:val="continue"/>
                </w:tcPr>
                <w:p w14:paraId="474B5C50">
                  <w:pPr>
                    <w:widowControl/>
                    <w:spacing w:after="0" w:line="240" w:lineRule="auto"/>
                    <w:jc w:val="left"/>
                    <w:rPr>
                      <w:rFonts w:ascii="仿宋" w:hAnsi="仿宋" w:eastAsia="仿宋" w:cs="宋体"/>
                      <w:color w:val="000000"/>
                      <w:kern w:val="0"/>
                      <w:szCs w:val="21"/>
                    </w:rPr>
                  </w:pPr>
                </w:p>
              </w:tc>
              <w:tc>
                <w:tcPr>
                  <w:tcW w:w="3477" w:type="dxa"/>
                </w:tcPr>
                <w:p w14:paraId="31213C02">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将医院的筛查项目与标准的筛查项目进行对照，并支持维护其他医院个性化字段，如支持医保标识等</w:t>
                  </w:r>
                </w:p>
              </w:tc>
            </w:tr>
            <w:tr w14:paraId="18FC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361914E">
                  <w:pPr>
                    <w:widowControl/>
                    <w:spacing w:after="0" w:line="240" w:lineRule="auto"/>
                    <w:jc w:val="left"/>
                    <w:rPr>
                      <w:rFonts w:ascii="仿宋" w:hAnsi="仿宋" w:eastAsia="仿宋" w:cs="宋体"/>
                      <w:color w:val="000000"/>
                      <w:kern w:val="0"/>
                      <w:szCs w:val="21"/>
                    </w:rPr>
                  </w:pPr>
                </w:p>
              </w:tc>
              <w:tc>
                <w:tcPr>
                  <w:tcW w:w="992" w:type="dxa"/>
                  <w:vMerge w:val="continue"/>
                </w:tcPr>
                <w:p w14:paraId="11102F76">
                  <w:pPr>
                    <w:widowControl/>
                    <w:spacing w:after="0" w:line="240" w:lineRule="auto"/>
                    <w:jc w:val="left"/>
                    <w:rPr>
                      <w:rFonts w:ascii="仿宋" w:hAnsi="仿宋" w:eastAsia="仿宋" w:cs="宋体"/>
                      <w:color w:val="000000"/>
                      <w:kern w:val="0"/>
                      <w:szCs w:val="21"/>
                    </w:rPr>
                  </w:pPr>
                </w:p>
              </w:tc>
              <w:tc>
                <w:tcPr>
                  <w:tcW w:w="1134" w:type="dxa"/>
                  <w:vMerge w:val="continue"/>
                </w:tcPr>
                <w:p w14:paraId="34F97857">
                  <w:pPr>
                    <w:widowControl/>
                    <w:spacing w:after="0" w:line="240" w:lineRule="auto"/>
                    <w:jc w:val="left"/>
                    <w:rPr>
                      <w:rFonts w:ascii="仿宋" w:hAnsi="仿宋" w:eastAsia="仿宋" w:cs="宋体"/>
                      <w:color w:val="000000"/>
                      <w:kern w:val="0"/>
                      <w:szCs w:val="21"/>
                    </w:rPr>
                  </w:pPr>
                </w:p>
              </w:tc>
              <w:tc>
                <w:tcPr>
                  <w:tcW w:w="3477" w:type="dxa"/>
                </w:tcPr>
                <w:p w14:paraId="618A7D7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维护筛查机构的号源开放情况等</w:t>
                  </w:r>
                </w:p>
              </w:tc>
            </w:tr>
            <w:tr w14:paraId="2C0F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1E2DCE6F">
                  <w:pPr>
                    <w:widowControl/>
                    <w:spacing w:after="0" w:line="240" w:lineRule="auto"/>
                    <w:jc w:val="left"/>
                    <w:rPr>
                      <w:rFonts w:ascii="仿宋" w:hAnsi="仿宋" w:eastAsia="仿宋" w:cs="宋体"/>
                      <w:color w:val="000000"/>
                      <w:kern w:val="0"/>
                      <w:szCs w:val="21"/>
                    </w:rPr>
                  </w:pPr>
                </w:p>
              </w:tc>
              <w:tc>
                <w:tcPr>
                  <w:tcW w:w="992" w:type="dxa"/>
                  <w:vMerge w:val="continue"/>
                </w:tcPr>
                <w:p w14:paraId="5E552A4D">
                  <w:pPr>
                    <w:widowControl/>
                    <w:spacing w:after="0" w:line="240" w:lineRule="auto"/>
                    <w:jc w:val="left"/>
                    <w:rPr>
                      <w:rFonts w:ascii="仿宋" w:hAnsi="仿宋" w:eastAsia="仿宋" w:cs="宋体"/>
                      <w:color w:val="000000"/>
                      <w:kern w:val="0"/>
                      <w:szCs w:val="21"/>
                    </w:rPr>
                  </w:pPr>
                </w:p>
              </w:tc>
              <w:tc>
                <w:tcPr>
                  <w:tcW w:w="1134" w:type="dxa"/>
                  <w:vMerge w:val="restart"/>
                </w:tcPr>
                <w:p w14:paraId="0444ABBC">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健康管理</w:t>
                  </w:r>
                </w:p>
              </w:tc>
              <w:tc>
                <w:tcPr>
                  <w:tcW w:w="3477" w:type="dxa"/>
                </w:tcPr>
                <w:p w14:paraId="597D0404">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系统内置客户购买癌种的健康随访题目，支持对随访题目进行编辑、启用和停用操作</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支持按照题目名称和癌种及状态搜索评估题目</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支持新增和删除评估题目，删除评估评估题目时需要判断该题目是否被引用，如果被引用不允许删除</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支持维护题目名称、适配癌种</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支持设置填空题和选择题目，其中选择题目包括单选题和多选题</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支持对选择题目配置选项，支持调整选项的显示顺序和适配癌种</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支持新增和删除题目选项</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支持设置填空题的类型，包括数值类型和文字类型</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支持设置数值类型的最小长度和最大长度</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支持设置文字类型的单位</w:t>
                  </w:r>
                </w:p>
              </w:tc>
            </w:tr>
            <w:tr w14:paraId="2120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7C0BB8AE">
                  <w:pPr>
                    <w:widowControl/>
                    <w:spacing w:after="0" w:line="240" w:lineRule="auto"/>
                    <w:jc w:val="left"/>
                    <w:rPr>
                      <w:rFonts w:ascii="仿宋" w:hAnsi="仿宋" w:eastAsia="仿宋" w:cs="宋体"/>
                      <w:color w:val="000000"/>
                      <w:kern w:val="0"/>
                      <w:szCs w:val="21"/>
                    </w:rPr>
                  </w:pPr>
                </w:p>
              </w:tc>
              <w:tc>
                <w:tcPr>
                  <w:tcW w:w="992" w:type="dxa"/>
                  <w:vMerge w:val="continue"/>
                </w:tcPr>
                <w:p w14:paraId="68B8D3A9">
                  <w:pPr>
                    <w:widowControl/>
                    <w:spacing w:after="0" w:line="240" w:lineRule="auto"/>
                    <w:jc w:val="left"/>
                    <w:rPr>
                      <w:rFonts w:ascii="仿宋" w:hAnsi="仿宋" w:eastAsia="仿宋" w:cs="宋体"/>
                      <w:color w:val="000000"/>
                      <w:kern w:val="0"/>
                      <w:szCs w:val="21"/>
                    </w:rPr>
                  </w:pPr>
                </w:p>
              </w:tc>
              <w:tc>
                <w:tcPr>
                  <w:tcW w:w="1134" w:type="dxa"/>
                  <w:vMerge w:val="continue"/>
                </w:tcPr>
                <w:p w14:paraId="159CDC54">
                  <w:pPr>
                    <w:widowControl/>
                    <w:spacing w:after="0" w:line="240" w:lineRule="auto"/>
                    <w:jc w:val="left"/>
                    <w:rPr>
                      <w:rFonts w:ascii="仿宋" w:hAnsi="仿宋" w:eastAsia="仿宋" w:cs="宋体"/>
                      <w:color w:val="000000"/>
                      <w:kern w:val="0"/>
                      <w:szCs w:val="21"/>
                    </w:rPr>
                  </w:pPr>
                </w:p>
              </w:tc>
              <w:tc>
                <w:tcPr>
                  <w:tcW w:w="3477" w:type="dxa"/>
                </w:tcPr>
                <w:p w14:paraId="3DBD458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支持展示健康管理问卷，支持对问卷进行编辑、删除、复制、查看、发布和停止发布操作</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支持按健康管理问卷名称、问卷状态进行搜索过滤</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支持新增问卷，在新增问卷中支持调用健康管理题目</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支持设置健康管理问卷的名称</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支持对问卷中的题目调整显示顺序和显示隐藏，支持显示题目的附加信息如适配癌种</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支持设置题目之间的关联关系</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支持设置题目的选项之间的组关联关系</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支持设置当跳过题目时是否给题目赋予默认值</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支持配置跳过题目的依赖关系</w:t>
                  </w:r>
                </w:p>
              </w:tc>
            </w:tr>
            <w:tr w14:paraId="69EE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69B216AB">
                  <w:pPr>
                    <w:widowControl/>
                    <w:spacing w:after="0" w:line="240" w:lineRule="auto"/>
                    <w:jc w:val="left"/>
                    <w:rPr>
                      <w:rFonts w:ascii="仿宋" w:hAnsi="仿宋" w:eastAsia="仿宋" w:cs="宋体"/>
                      <w:color w:val="000000"/>
                      <w:kern w:val="0"/>
                      <w:szCs w:val="21"/>
                    </w:rPr>
                  </w:pPr>
                </w:p>
              </w:tc>
              <w:tc>
                <w:tcPr>
                  <w:tcW w:w="992" w:type="dxa"/>
                  <w:vMerge w:val="continue"/>
                </w:tcPr>
                <w:p w14:paraId="701C9388">
                  <w:pPr>
                    <w:widowControl/>
                    <w:spacing w:after="0" w:line="240" w:lineRule="auto"/>
                    <w:jc w:val="left"/>
                    <w:rPr>
                      <w:rFonts w:ascii="仿宋" w:hAnsi="仿宋" w:eastAsia="仿宋" w:cs="宋体"/>
                      <w:color w:val="000000"/>
                      <w:kern w:val="0"/>
                      <w:szCs w:val="21"/>
                    </w:rPr>
                  </w:pPr>
                </w:p>
              </w:tc>
              <w:tc>
                <w:tcPr>
                  <w:tcW w:w="1134" w:type="dxa"/>
                  <w:vMerge w:val="continue"/>
                </w:tcPr>
                <w:p w14:paraId="1354BA73">
                  <w:pPr>
                    <w:widowControl/>
                    <w:spacing w:after="0" w:line="240" w:lineRule="auto"/>
                    <w:jc w:val="left"/>
                    <w:rPr>
                      <w:rFonts w:ascii="仿宋" w:hAnsi="仿宋" w:eastAsia="仿宋" w:cs="宋体"/>
                      <w:color w:val="000000"/>
                      <w:kern w:val="0"/>
                      <w:szCs w:val="21"/>
                    </w:rPr>
                  </w:pPr>
                </w:p>
              </w:tc>
              <w:tc>
                <w:tcPr>
                  <w:tcW w:w="3477" w:type="dxa"/>
                </w:tcPr>
                <w:p w14:paraId="348192F0">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支持根据方案名称、方案类型、方案癌种等信息对随访方案进行查询</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支持新增、编辑、查看随访方案</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支持引入随访问卷，根据不同方案类型、患者标签等信息、维护随访方案</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支持设置不同的随访方案的随访计划</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支持配置随访方案的开始时间以及历次随访计划的开始时间</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支持设计每个随访计划的窗口期</w:t>
                  </w:r>
                </w:p>
              </w:tc>
            </w:tr>
            <w:tr w14:paraId="6F639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restart"/>
                </w:tcPr>
                <w:p w14:paraId="0958A41C">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数据治理服务</w:t>
                  </w:r>
                </w:p>
              </w:tc>
              <w:tc>
                <w:tcPr>
                  <w:tcW w:w="992" w:type="dxa"/>
                  <w:vMerge w:val="restart"/>
                </w:tcPr>
                <w:p w14:paraId="289C79B9">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数据结构化及归一化服务</w:t>
                  </w:r>
                </w:p>
              </w:tc>
              <w:tc>
                <w:tcPr>
                  <w:tcW w:w="1134" w:type="dxa"/>
                </w:tcPr>
                <w:p w14:paraId="15F686DA">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肺癌</w:t>
                  </w:r>
                </w:p>
              </w:tc>
              <w:tc>
                <w:tcPr>
                  <w:tcW w:w="3477" w:type="dxa"/>
                </w:tcPr>
                <w:p w14:paraId="2DA0081A">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需从现病史、既往史、病程记录、检查结论等文本中完成肺癌诊断名称、部位、次级解剖部位、淋巴结、状态词、时间等相关实体提取，完成部位与诊断名称、诊断名称与状态词、部位与次级、诊断名称与时间等关系映射及诊断术语归一化处理、部位术语归一化处理、状态词术语归一化处理等</w:t>
                  </w:r>
                </w:p>
              </w:tc>
            </w:tr>
            <w:tr w14:paraId="7C2FF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B664097">
                  <w:pPr>
                    <w:widowControl/>
                    <w:spacing w:after="0" w:line="240" w:lineRule="auto"/>
                    <w:jc w:val="left"/>
                    <w:rPr>
                      <w:rFonts w:ascii="仿宋" w:hAnsi="仿宋" w:eastAsia="仿宋" w:cs="宋体"/>
                      <w:color w:val="000000"/>
                      <w:kern w:val="0"/>
                      <w:szCs w:val="21"/>
                    </w:rPr>
                  </w:pPr>
                </w:p>
              </w:tc>
              <w:tc>
                <w:tcPr>
                  <w:tcW w:w="992" w:type="dxa"/>
                  <w:vMerge w:val="continue"/>
                </w:tcPr>
                <w:p w14:paraId="7CC8BE96">
                  <w:pPr>
                    <w:widowControl/>
                    <w:spacing w:after="0" w:line="240" w:lineRule="auto"/>
                    <w:jc w:val="left"/>
                    <w:rPr>
                      <w:rFonts w:ascii="仿宋" w:hAnsi="仿宋" w:eastAsia="仿宋" w:cs="宋体"/>
                      <w:color w:val="000000"/>
                      <w:kern w:val="0"/>
                      <w:szCs w:val="21"/>
                    </w:rPr>
                  </w:pPr>
                </w:p>
              </w:tc>
              <w:tc>
                <w:tcPr>
                  <w:tcW w:w="1134" w:type="dxa"/>
                </w:tcPr>
                <w:p w14:paraId="3C44899D">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胃癌</w:t>
                  </w:r>
                </w:p>
              </w:tc>
              <w:tc>
                <w:tcPr>
                  <w:tcW w:w="3477" w:type="dxa"/>
                </w:tcPr>
                <w:p w14:paraId="2C600F19">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需从个人史、现病史、既往史等文本中完成胃癌个体行为、频率词、单次用量、数值、时间等相关实体提取，完成个体行为与状态词、个体行为与数值、个体行为与单次用量、个体行为与时间等关系映射及个体行为术语归一化处理、状态词术语归一化处理、频率词术语归一化处理、数值术语归一化处理、单次用量术语归一化处理等</w:t>
                  </w:r>
                </w:p>
              </w:tc>
            </w:tr>
            <w:tr w14:paraId="2804D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7CAEAFC">
                  <w:pPr>
                    <w:widowControl/>
                    <w:spacing w:after="0" w:line="240" w:lineRule="auto"/>
                    <w:jc w:val="left"/>
                    <w:rPr>
                      <w:rFonts w:ascii="仿宋" w:hAnsi="仿宋" w:eastAsia="仿宋" w:cs="宋体"/>
                      <w:color w:val="000000"/>
                      <w:kern w:val="0"/>
                      <w:szCs w:val="21"/>
                    </w:rPr>
                  </w:pPr>
                </w:p>
              </w:tc>
              <w:tc>
                <w:tcPr>
                  <w:tcW w:w="992" w:type="dxa"/>
                  <w:vMerge w:val="continue"/>
                </w:tcPr>
                <w:p w14:paraId="1EA5BB69">
                  <w:pPr>
                    <w:widowControl/>
                    <w:spacing w:after="0" w:line="240" w:lineRule="auto"/>
                    <w:jc w:val="left"/>
                    <w:rPr>
                      <w:rFonts w:ascii="仿宋" w:hAnsi="仿宋" w:eastAsia="仿宋" w:cs="宋体"/>
                      <w:color w:val="000000"/>
                      <w:kern w:val="0"/>
                      <w:szCs w:val="21"/>
                    </w:rPr>
                  </w:pPr>
                </w:p>
              </w:tc>
              <w:tc>
                <w:tcPr>
                  <w:tcW w:w="1134" w:type="dxa"/>
                </w:tcPr>
                <w:p w14:paraId="57137A45">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肝癌</w:t>
                  </w:r>
                </w:p>
              </w:tc>
              <w:tc>
                <w:tcPr>
                  <w:tcW w:w="3477" w:type="dxa"/>
                </w:tcPr>
                <w:p w14:paraId="21467BB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需从家族史、病程记录等文本中完成肝癌亲属关系、诊断名称、年龄、数值、部位、次级解剖部位、状态词等相关实体提取，完成亲属与年龄、亲属与诊断、亲属与数值、亲属与年龄、亲属与数值等关系映射及亲属术语归一化处理、诊断名称术语归一化处理、年龄术语归一化处理、部位术语归一化处理、状态词术语归一化处理等</w:t>
                  </w:r>
                </w:p>
              </w:tc>
            </w:tr>
            <w:tr w14:paraId="70D2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D86E786">
                  <w:pPr>
                    <w:widowControl/>
                    <w:spacing w:after="0" w:line="240" w:lineRule="auto"/>
                    <w:jc w:val="left"/>
                    <w:rPr>
                      <w:rFonts w:ascii="仿宋" w:hAnsi="仿宋" w:eastAsia="仿宋" w:cs="宋体"/>
                      <w:color w:val="000000"/>
                      <w:kern w:val="0"/>
                      <w:szCs w:val="21"/>
                    </w:rPr>
                  </w:pPr>
                </w:p>
              </w:tc>
              <w:tc>
                <w:tcPr>
                  <w:tcW w:w="992" w:type="dxa"/>
                  <w:vMerge w:val="continue"/>
                </w:tcPr>
                <w:p w14:paraId="1B6CF6AB">
                  <w:pPr>
                    <w:widowControl/>
                    <w:spacing w:after="0" w:line="240" w:lineRule="auto"/>
                    <w:jc w:val="left"/>
                    <w:rPr>
                      <w:rFonts w:ascii="仿宋" w:hAnsi="仿宋" w:eastAsia="仿宋" w:cs="宋体"/>
                      <w:color w:val="000000"/>
                      <w:kern w:val="0"/>
                      <w:szCs w:val="21"/>
                    </w:rPr>
                  </w:pPr>
                </w:p>
              </w:tc>
              <w:tc>
                <w:tcPr>
                  <w:tcW w:w="1134" w:type="dxa"/>
                </w:tcPr>
                <w:p w14:paraId="3E3FC2A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结直肠癌</w:t>
                  </w:r>
                </w:p>
              </w:tc>
              <w:tc>
                <w:tcPr>
                  <w:tcW w:w="3477" w:type="dxa"/>
                </w:tcPr>
                <w:p w14:paraId="2F1C6EC5">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需从现病史、辅助检查、病程记录等文本中完成结直肠癌临床发现、体格检查、状态词、部位、次级解剖部位、淋巴结等相关实体提取，完成临床发现与部位、体格检查与临床发现、临床发现与状态词、临床发现与部位、部位与次级解剖部位等关系映射及临床发现术语归一化处理、体格检查术语归一化处理、状态词术语归一化处理、部位术语归一化处理等</w:t>
                  </w:r>
                </w:p>
              </w:tc>
            </w:tr>
            <w:tr w14:paraId="446D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D3DA9D2">
                  <w:pPr>
                    <w:widowControl/>
                    <w:spacing w:after="0" w:line="240" w:lineRule="auto"/>
                    <w:jc w:val="left"/>
                    <w:rPr>
                      <w:rFonts w:ascii="仿宋" w:hAnsi="仿宋" w:eastAsia="仿宋" w:cs="宋体"/>
                      <w:color w:val="000000"/>
                      <w:kern w:val="0"/>
                      <w:szCs w:val="21"/>
                    </w:rPr>
                  </w:pPr>
                </w:p>
              </w:tc>
              <w:tc>
                <w:tcPr>
                  <w:tcW w:w="992" w:type="dxa"/>
                  <w:vMerge w:val="continue"/>
                </w:tcPr>
                <w:p w14:paraId="51A8ABBD">
                  <w:pPr>
                    <w:widowControl/>
                    <w:spacing w:after="0" w:line="240" w:lineRule="auto"/>
                    <w:jc w:val="left"/>
                    <w:rPr>
                      <w:rFonts w:ascii="仿宋" w:hAnsi="仿宋" w:eastAsia="仿宋" w:cs="宋体"/>
                      <w:color w:val="000000"/>
                      <w:kern w:val="0"/>
                      <w:szCs w:val="21"/>
                    </w:rPr>
                  </w:pPr>
                </w:p>
              </w:tc>
              <w:tc>
                <w:tcPr>
                  <w:tcW w:w="1134" w:type="dxa"/>
                </w:tcPr>
                <w:p w14:paraId="4ED1525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乳腺癌</w:t>
                  </w:r>
                </w:p>
              </w:tc>
              <w:tc>
                <w:tcPr>
                  <w:tcW w:w="3477" w:type="dxa"/>
                </w:tcPr>
                <w:p w14:paraId="4F4FD36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需从现病史、辅助检查、病程记录等文本中完成乳腺癌体格检查、时间、状态词、部位、次级解剖部位、淋巴结、相对时间等相关实体提取，完成体格检查与部位、体格检查与状态词、部位与次级解剖部位、体格检查与时间、体格检查与相对时间等关系映射及体格检查术语归一化处理、状态词术语归一化处理、部位术语归一化处理等</w:t>
                  </w:r>
                </w:p>
              </w:tc>
            </w:tr>
            <w:tr w14:paraId="55FA5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9E0378D">
                  <w:pPr>
                    <w:widowControl/>
                    <w:spacing w:after="0" w:line="240" w:lineRule="auto"/>
                    <w:jc w:val="left"/>
                    <w:rPr>
                      <w:rFonts w:ascii="仿宋" w:hAnsi="仿宋" w:eastAsia="仿宋" w:cs="宋体"/>
                      <w:color w:val="000000"/>
                      <w:kern w:val="0"/>
                      <w:szCs w:val="21"/>
                    </w:rPr>
                  </w:pPr>
                </w:p>
              </w:tc>
              <w:tc>
                <w:tcPr>
                  <w:tcW w:w="992" w:type="dxa"/>
                  <w:vMerge w:val="continue"/>
                </w:tcPr>
                <w:p w14:paraId="39C000C7">
                  <w:pPr>
                    <w:widowControl/>
                    <w:spacing w:after="0" w:line="240" w:lineRule="auto"/>
                    <w:jc w:val="left"/>
                    <w:rPr>
                      <w:rFonts w:ascii="仿宋" w:hAnsi="仿宋" w:eastAsia="仿宋" w:cs="宋体"/>
                      <w:color w:val="000000"/>
                      <w:kern w:val="0"/>
                      <w:szCs w:val="21"/>
                    </w:rPr>
                  </w:pPr>
                </w:p>
              </w:tc>
              <w:tc>
                <w:tcPr>
                  <w:tcW w:w="1134" w:type="dxa"/>
                </w:tcPr>
                <w:p w14:paraId="15EAA2F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宫颈癌</w:t>
                  </w:r>
                </w:p>
              </w:tc>
              <w:tc>
                <w:tcPr>
                  <w:tcW w:w="3477" w:type="dxa"/>
                </w:tcPr>
                <w:p w14:paraId="657BB5CD">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需从检查类型、检查名称、现病史等文本中完成宫颈癌检查项目、部位、扫描类型、扫描参数、次级解剖部位等相关实体提取，完成检查项目与部位、检查与扫描类型、检查与扫描参数、部位与次级解剖部位等关系映射及检查项目术语归一化处理、部位术语归一化处理、扫描类型术语归一化处理、扫描参数术语归一化处理等</w:t>
                  </w:r>
                </w:p>
              </w:tc>
            </w:tr>
            <w:tr w14:paraId="3D1C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7FE4EF86">
                  <w:pPr>
                    <w:widowControl/>
                    <w:spacing w:after="0" w:line="240" w:lineRule="auto"/>
                    <w:jc w:val="left"/>
                    <w:rPr>
                      <w:rFonts w:ascii="仿宋" w:hAnsi="仿宋" w:eastAsia="仿宋" w:cs="宋体"/>
                      <w:color w:val="000000"/>
                      <w:kern w:val="0"/>
                      <w:szCs w:val="21"/>
                    </w:rPr>
                  </w:pPr>
                </w:p>
              </w:tc>
              <w:tc>
                <w:tcPr>
                  <w:tcW w:w="992" w:type="dxa"/>
                  <w:vMerge w:val="continue"/>
                </w:tcPr>
                <w:p w14:paraId="0CC5E171">
                  <w:pPr>
                    <w:widowControl/>
                    <w:spacing w:after="0" w:line="240" w:lineRule="auto"/>
                    <w:jc w:val="left"/>
                    <w:rPr>
                      <w:rFonts w:ascii="仿宋" w:hAnsi="仿宋" w:eastAsia="仿宋" w:cs="宋体"/>
                      <w:color w:val="000000"/>
                      <w:kern w:val="0"/>
                      <w:szCs w:val="21"/>
                    </w:rPr>
                  </w:pPr>
                </w:p>
              </w:tc>
              <w:tc>
                <w:tcPr>
                  <w:tcW w:w="1134" w:type="dxa"/>
                </w:tcPr>
                <w:p w14:paraId="1E6665F9">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食管癌</w:t>
                  </w:r>
                </w:p>
              </w:tc>
              <w:tc>
                <w:tcPr>
                  <w:tcW w:w="3477" w:type="dxa"/>
                </w:tcPr>
                <w:p w14:paraId="5962C49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需从辅助检查、体格检查等文本中完成食管癌生命体征、时间、数值、医院名称、相对时间等相关实体提取，完成生命体征与数值、生命体征与时间、生命体征与相对时间、生命体征与医院名称等关系映射及生命体征术语归一化处理、数值术语归一化处理、医院名称术语归一化处理等</w:t>
                  </w:r>
                </w:p>
              </w:tc>
            </w:tr>
            <w:tr w14:paraId="0994C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14B682AE">
                  <w:pPr>
                    <w:widowControl/>
                    <w:spacing w:after="0" w:line="240" w:lineRule="auto"/>
                    <w:jc w:val="left"/>
                    <w:rPr>
                      <w:rFonts w:ascii="仿宋" w:hAnsi="仿宋" w:eastAsia="仿宋" w:cs="宋体"/>
                      <w:color w:val="000000"/>
                      <w:kern w:val="0"/>
                      <w:szCs w:val="21"/>
                    </w:rPr>
                  </w:pPr>
                </w:p>
              </w:tc>
              <w:tc>
                <w:tcPr>
                  <w:tcW w:w="992" w:type="dxa"/>
                  <w:vMerge w:val="restart"/>
                </w:tcPr>
                <w:p w14:paraId="38BFF6A6">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风险智能评估数据加工服务</w:t>
                  </w:r>
                </w:p>
              </w:tc>
              <w:tc>
                <w:tcPr>
                  <w:tcW w:w="1134" w:type="dxa"/>
                </w:tcPr>
                <w:p w14:paraId="376602F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肺癌</w:t>
                  </w:r>
                </w:p>
              </w:tc>
              <w:tc>
                <w:tcPr>
                  <w:tcW w:w="3477" w:type="dxa"/>
                </w:tcPr>
                <w:p w14:paraId="5F8B99B6">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肺癌高危因素（入院前是否有慢性阻塞性肺疾病、入院时吸烟史评估结果、吸烟总烟量、被动吸烟年限、入院时评估为有一级亲属确诊肺癌和职业暴露年限）的入院前6个月内肺癌风险评估是否高危、入院前12个月内肺癌风险评估是否低危、入院时肺癌风险评估结果等字段加工</w:t>
                  </w:r>
                </w:p>
              </w:tc>
            </w:tr>
            <w:tr w14:paraId="6BEF6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B2AF2F1">
                  <w:pPr>
                    <w:widowControl/>
                    <w:spacing w:after="0" w:line="240" w:lineRule="auto"/>
                    <w:jc w:val="left"/>
                    <w:rPr>
                      <w:rFonts w:ascii="仿宋" w:hAnsi="仿宋" w:eastAsia="仿宋" w:cs="宋体"/>
                      <w:color w:val="000000"/>
                      <w:kern w:val="0"/>
                      <w:szCs w:val="21"/>
                    </w:rPr>
                  </w:pPr>
                </w:p>
              </w:tc>
              <w:tc>
                <w:tcPr>
                  <w:tcW w:w="992" w:type="dxa"/>
                  <w:vMerge w:val="continue"/>
                </w:tcPr>
                <w:p w14:paraId="29B6D27B">
                  <w:pPr>
                    <w:widowControl/>
                    <w:spacing w:after="0" w:line="240" w:lineRule="auto"/>
                    <w:jc w:val="left"/>
                    <w:rPr>
                      <w:rFonts w:ascii="仿宋" w:hAnsi="仿宋" w:eastAsia="仿宋" w:cs="宋体"/>
                      <w:color w:val="000000"/>
                      <w:kern w:val="0"/>
                      <w:szCs w:val="21"/>
                    </w:rPr>
                  </w:pPr>
                </w:p>
              </w:tc>
              <w:tc>
                <w:tcPr>
                  <w:tcW w:w="1134" w:type="dxa"/>
                </w:tcPr>
                <w:p w14:paraId="65B584BC">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胃癌</w:t>
                  </w:r>
                </w:p>
              </w:tc>
              <w:tc>
                <w:tcPr>
                  <w:tcW w:w="3477" w:type="dxa"/>
                </w:tcPr>
                <w:p w14:paraId="7FB20825">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胃癌高危因素（长期居住于胃癌高发地区、一级亲属中有胃癌病史、（尿素呼气试验、血清Hp抗体、粪便Hp抗原检测任一阳性）、（吸烟、重度饮酒、高盐饮食、腌制食品等不良生活方式和饮食习惯）、患有慢性萎缩性胃炎、胃溃疡、胃增生性息肉、息肉病、手术后残胃、肥厚性胃炎、恶性贫血等疾病、（G17异常，且PG1和PGR下降））的入院前6个月内胃癌风险评估是否高危、入院前12个月内胃癌风险评估是否低危、入院时胃癌风险评估结果等字段加工</w:t>
                  </w:r>
                </w:p>
              </w:tc>
            </w:tr>
            <w:tr w14:paraId="09B5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ACA22FB">
                  <w:pPr>
                    <w:widowControl/>
                    <w:spacing w:after="0" w:line="240" w:lineRule="auto"/>
                    <w:jc w:val="left"/>
                    <w:rPr>
                      <w:rFonts w:ascii="仿宋" w:hAnsi="仿宋" w:eastAsia="仿宋" w:cs="宋体"/>
                      <w:color w:val="000000"/>
                      <w:kern w:val="0"/>
                      <w:szCs w:val="21"/>
                    </w:rPr>
                  </w:pPr>
                </w:p>
              </w:tc>
              <w:tc>
                <w:tcPr>
                  <w:tcW w:w="992" w:type="dxa"/>
                  <w:vMerge w:val="continue"/>
                </w:tcPr>
                <w:p w14:paraId="17ACEC26">
                  <w:pPr>
                    <w:widowControl/>
                    <w:spacing w:after="0" w:line="240" w:lineRule="auto"/>
                    <w:jc w:val="left"/>
                    <w:rPr>
                      <w:rFonts w:ascii="仿宋" w:hAnsi="仿宋" w:eastAsia="仿宋" w:cs="宋体"/>
                      <w:color w:val="000000"/>
                      <w:kern w:val="0"/>
                      <w:szCs w:val="21"/>
                    </w:rPr>
                  </w:pPr>
                </w:p>
              </w:tc>
              <w:tc>
                <w:tcPr>
                  <w:tcW w:w="1134" w:type="dxa"/>
                </w:tcPr>
                <w:p w14:paraId="5FEC3609">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肝癌</w:t>
                  </w:r>
                </w:p>
              </w:tc>
              <w:tc>
                <w:tcPr>
                  <w:tcW w:w="3477" w:type="dxa"/>
                </w:tcPr>
                <w:p w14:paraId="03E1D502">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完成肝癌高危因素（HBV/HCV慢性感染且年龄≥40岁、肝硬化或肝癌家族史、合并代谢综合征）的入院前6个月内肝癌风险评估是否高危、入院前12个月内肝癌风险评估是否低危、入院时肝癌风险评估结果等字段加工</w:t>
                  </w:r>
                </w:p>
              </w:tc>
            </w:tr>
            <w:tr w14:paraId="7A8A3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0FB4EA2D">
                  <w:pPr>
                    <w:widowControl/>
                    <w:spacing w:after="0" w:line="240" w:lineRule="auto"/>
                    <w:jc w:val="left"/>
                    <w:rPr>
                      <w:rFonts w:ascii="仿宋" w:hAnsi="仿宋" w:eastAsia="仿宋" w:cs="宋体"/>
                      <w:color w:val="000000"/>
                      <w:kern w:val="0"/>
                      <w:szCs w:val="21"/>
                    </w:rPr>
                  </w:pPr>
                </w:p>
              </w:tc>
              <w:tc>
                <w:tcPr>
                  <w:tcW w:w="992" w:type="dxa"/>
                  <w:vMerge w:val="continue"/>
                </w:tcPr>
                <w:p w14:paraId="2A887BB1">
                  <w:pPr>
                    <w:widowControl/>
                    <w:spacing w:after="0" w:line="240" w:lineRule="auto"/>
                    <w:jc w:val="left"/>
                    <w:rPr>
                      <w:rFonts w:ascii="仿宋" w:hAnsi="仿宋" w:eastAsia="仿宋" w:cs="宋体"/>
                      <w:color w:val="000000"/>
                      <w:kern w:val="0"/>
                      <w:szCs w:val="21"/>
                    </w:rPr>
                  </w:pPr>
                </w:p>
              </w:tc>
              <w:tc>
                <w:tcPr>
                  <w:tcW w:w="1134" w:type="dxa"/>
                </w:tcPr>
                <w:p w14:paraId="50FE09BF">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结直肠癌</w:t>
                  </w:r>
                </w:p>
              </w:tc>
              <w:tc>
                <w:tcPr>
                  <w:tcW w:w="3477" w:type="dxa"/>
                </w:tcPr>
                <w:p w14:paraId="3CC8B310">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结直肠癌高危因素（有结直肠息肉史、（任意一个一级亲属患有家族性腺瘤性息肉病、林奇综合征、克罗恩氏病、溃疡性结肠炎）粪便潜血检测结果阳性）的入院前6个月内结直肠癌风险评估是否高危、入院前12个月内结直肠癌风险评估是否低危、入院时结直肠癌风险评估结果等字段加工</w:t>
                  </w:r>
                </w:p>
              </w:tc>
            </w:tr>
            <w:tr w14:paraId="1F10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42D18B5">
                  <w:pPr>
                    <w:widowControl/>
                    <w:spacing w:after="0" w:line="240" w:lineRule="auto"/>
                    <w:jc w:val="left"/>
                    <w:rPr>
                      <w:rFonts w:ascii="仿宋" w:hAnsi="仿宋" w:eastAsia="仿宋" w:cs="宋体"/>
                      <w:color w:val="000000"/>
                      <w:kern w:val="0"/>
                      <w:szCs w:val="21"/>
                    </w:rPr>
                  </w:pPr>
                </w:p>
              </w:tc>
              <w:tc>
                <w:tcPr>
                  <w:tcW w:w="992" w:type="dxa"/>
                  <w:vMerge w:val="continue"/>
                </w:tcPr>
                <w:p w14:paraId="71199485">
                  <w:pPr>
                    <w:widowControl/>
                    <w:spacing w:after="0" w:line="240" w:lineRule="auto"/>
                    <w:jc w:val="left"/>
                    <w:rPr>
                      <w:rFonts w:ascii="仿宋" w:hAnsi="仿宋" w:eastAsia="仿宋" w:cs="宋体"/>
                      <w:color w:val="000000"/>
                      <w:kern w:val="0"/>
                      <w:szCs w:val="21"/>
                    </w:rPr>
                  </w:pPr>
                </w:p>
              </w:tc>
              <w:tc>
                <w:tcPr>
                  <w:tcW w:w="1134" w:type="dxa"/>
                </w:tcPr>
                <w:p w14:paraId="7D63981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乳腺癌</w:t>
                  </w:r>
                </w:p>
              </w:tc>
              <w:tc>
                <w:tcPr>
                  <w:tcW w:w="3477" w:type="dxa"/>
                </w:tcPr>
                <w:p w14:paraId="70CDB7CA">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乳腺癌高危因素（一级亲属有乳腺癌或卵巢癌史、（二级亲属50岁前，患乳腺癌或患卵巢癌2人及以上）、（至少1位一级亲属携带已知BRCA1/2基因致病性遗传突变；或自身携带BRCA1/2基因致病性遗传突变）、月经初潮年龄≤12岁、绝经年龄≥55岁、有乳腺活检史或乳腺良性疾病手术史或病理证实的乳腺（小叶或导管）不典型增生病史、使用“雌孕激素联合”的激素替代治疗不少于半年、45岁后乳腺X线检查提示乳腺实质（或乳房密度）类型为不均匀致密型或致密型）的入院时乳腺癌风险评估结果等字段加工</w:t>
                  </w:r>
                </w:p>
              </w:tc>
            </w:tr>
            <w:tr w14:paraId="3B4AE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C8BBC59">
                  <w:pPr>
                    <w:widowControl/>
                    <w:spacing w:after="0" w:line="240" w:lineRule="auto"/>
                    <w:jc w:val="left"/>
                    <w:rPr>
                      <w:rFonts w:ascii="仿宋" w:hAnsi="仿宋" w:eastAsia="仿宋" w:cs="宋体"/>
                      <w:color w:val="000000"/>
                      <w:kern w:val="0"/>
                      <w:szCs w:val="21"/>
                    </w:rPr>
                  </w:pPr>
                </w:p>
              </w:tc>
              <w:tc>
                <w:tcPr>
                  <w:tcW w:w="992" w:type="dxa"/>
                  <w:vMerge w:val="continue"/>
                </w:tcPr>
                <w:p w14:paraId="77C58130">
                  <w:pPr>
                    <w:widowControl/>
                    <w:spacing w:after="0" w:line="240" w:lineRule="auto"/>
                    <w:jc w:val="left"/>
                    <w:rPr>
                      <w:rFonts w:ascii="仿宋" w:hAnsi="仿宋" w:eastAsia="仿宋" w:cs="宋体"/>
                      <w:color w:val="000000"/>
                      <w:kern w:val="0"/>
                      <w:szCs w:val="21"/>
                    </w:rPr>
                  </w:pPr>
                </w:p>
              </w:tc>
              <w:tc>
                <w:tcPr>
                  <w:tcW w:w="1134" w:type="dxa"/>
                </w:tcPr>
                <w:p w14:paraId="6EFA0CFD">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宫颈癌</w:t>
                  </w:r>
                </w:p>
              </w:tc>
              <w:tc>
                <w:tcPr>
                  <w:tcW w:w="3477" w:type="dxa"/>
                </w:tcPr>
                <w:p w14:paraId="09D13E2C">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完成宫颈癌高危因素的入院前6个月内宫颈癌风险评估是否高危、入院前12个月内宫颈癌风险评估是否低危、入院时宫颈癌风险评估结果等字段加工</w:t>
                  </w:r>
                </w:p>
              </w:tc>
            </w:tr>
            <w:tr w14:paraId="051A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3660A1B">
                  <w:pPr>
                    <w:widowControl/>
                    <w:spacing w:after="0" w:line="240" w:lineRule="auto"/>
                    <w:jc w:val="left"/>
                    <w:rPr>
                      <w:rFonts w:ascii="仿宋" w:hAnsi="仿宋" w:eastAsia="仿宋" w:cs="宋体"/>
                      <w:color w:val="000000"/>
                      <w:kern w:val="0"/>
                      <w:szCs w:val="21"/>
                    </w:rPr>
                  </w:pPr>
                </w:p>
              </w:tc>
              <w:tc>
                <w:tcPr>
                  <w:tcW w:w="992" w:type="dxa"/>
                  <w:vMerge w:val="continue"/>
                </w:tcPr>
                <w:p w14:paraId="3C9E7691">
                  <w:pPr>
                    <w:widowControl/>
                    <w:spacing w:after="0" w:line="240" w:lineRule="auto"/>
                    <w:jc w:val="left"/>
                    <w:rPr>
                      <w:rFonts w:ascii="仿宋" w:hAnsi="仿宋" w:eastAsia="仿宋" w:cs="宋体"/>
                      <w:color w:val="000000"/>
                      <w:kern w:val="0"/>
                      <w:szCs w:val="21"/>
                    </w:rPr>
                  </w:pPr>
                </w:p>
              </w:tc>
              <w:tc>
                <w:tcPr>
                  <w:tcW w:w="1134" w:type="dxa"/>
                </w:tcPr>
                <w:p w14:paraId="26375A7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食管癌</w:t>
                  </w:r>
                </w:p>
              </w:tc>
              <w:tc>
                <w:tcPr>
                  <w:tcW w:w="3477" w:type="dxa"/>
                </w:tcPr>
                <w:p w14:paraId="34964D24">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食管癌高危因素（长期居住于食管癌高发地区、一级亲属中有食管癌疾病史、（热烫饮食、高盐饮食、腌制食品、吸烟、重度饮酒等不良饮食习惯和生活方式）、（患有慢性食管炎、巴雷特（Barrett）食管、食管憩室、贲门失弛缓症、反流性食管炎、食管良性狭窄等疾病）、有食管癌前病变诊疗史）的入院前6个月内食管癌风险评估是否高危、入院前12个月内食管癌风险评估是否低危、入院时食管风险评估结果等字段加工</w:t>
                  </w:r>
                </w:p>
              </w:tc>
            </w:tr>
            <w:tr w14:paraId="602B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6D50717">
                  <w:pPr>
                    <w:widowControl/>
                    <w:spacing w:after="0" w:line="240" w:lineRule="auto"/>
                    <w:jc w:val="left"/>
                    <w:rPr>
                      <w:rFonts w:ascii="仿宋" w:hAnsi="仿宋" w:eastAsia="仿宋" w:cs="宋体"/>
                      <w:color w:val="000000"/>
                      <w:kern w:val="0"/>
                      <w:szCs w:val="21"/>
                    </w:rPr>
                  </w:pPr>
                </w:p>
              </w:tc>
              <w:tc>
                <w:tcPr>
                  <w:tcW w:w="992" w:type="dxa"/>
                  <w:vMerge w:val="restart"/>
                </w:tcPr>
                <w:p w14:paraId="457DDB04">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筛查数据加工服务</w:t>
                  </w:r>
                </w:p>
              </w:tc>
              <w:tc>
                <w:tcPr>
                  <w:tcW w:w="1134" w:type="dxa"/>
                </w:tcPr>
                <w:p w14:paraId="0848043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肺癌</w:t>
                  </w:r>
                </w:p>
              </w:tc>
              <w:tc>
                <w:tcPr>
                  <w:tcW w:w="3477" w:type="dxa"/>
                </w:tcPr>
                <w:p w14:paraId="4DD7858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完成肺癌入院前24个月内、入院前6个月内、当次就诊期间，胸部CT、胸部MRI、低剂量螺旋CT、PET-CT、胸部X线等阴阳性字段加工</w:t>
                  </w:r>
                </w:p>
              </w:tc>
            </w:tr>
            <w:tr w14:paraId="76EE5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7EF10455">
                  <w:pPr>
                    <w:widowControl/>
                    <w:spacing w:after="0" w:line="240" w:lineRule="auto"/>
                    <w:jc w:val="left"/>
                    <w:rPr>
                      <w:rFonts w:ascii="仿宋" w:hAnsi="仿宋" w:eastAsia="仿宋" w:cs="宋体"/>
                      <w:color w:val="000000"/>
                      <w:kern w:val="0"/>
                      <w:szCs w:val="21"/>
                    </w:rPr>
                  </w:pPr>
                </w:p>
              </w:tc>
              <w:tc>
                <w:tcPr>
                  <w:tcW w:w="992" w:type="dxa"/>
                  <w:vMerge w:val="continue"/>
                </w:tcPr>
                <w:p w14:paraId="7F403A85">
                  <w:pPr>
                    <w:widowControl/>
                    <w:spacing w:after="0" w:line="240" w:lineRule="auto"/>
                    <w:jc w:val="left"/>
                    <w:rPr>
                      <w:rFonts w:ascii="仿宋" w:hAnsi="仿宋" w:eastAsia="仿宋" w:cs="宋体"/>
                      <w:color w:val="000000"/>
                      <w:kern w:val="0"/>
                      <w:szCs w:val="21"/>
                    </w:rPr>
                  </w:pPr>
                </w:p>
              </w:tc>
              <w:tc>
                <w:tcPr>
                  <w:tcW w:w="1134" w:type="dxa"/>
                </w:tcPr>
                <w:p w14:paraId="5E11F414">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胃癌</w:t>
                  </w:r>
                </w:p>
              </w:tc>
              <w:tc>
                <w:tcPr>
                  <w:tcW w:w="3477" w:type="dxa"/>
                </w:tcPr>
                <w:p w14:paraId="71CD958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完成胃癌入院前3个月内、当次就诊期间，上消化道造影检查、胸部CT检查、腹部CT检查、胸部MRI检查、腹部MRI检查、腹部超声检查、PET-CT检查等阴阳性字段加工</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完成胃癌入院前6个月内CA724检测、CA242检测、AFP检测、CA199检测、CA125检测、CEA检测等阴阳性字段加工，当次就诊期间CA724检测、CA242检测、AFP检测、CA199检测、CA125检测、CEA检测等阳性字段加工</w:t>
                  </w:r>
                </w:p>
              </w:tc>
            </w:tr>
            <w:tr w14:paraId="014A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1588E6E">
                  <w:pPr>
                    <w:widowControl/>
                    <w:spacing w:after="0" w:line="240" w:lineRule="auto"/>
                    <w:jc w:val="left"/>
                    <w:rPr>
                      <w:rFonts w:ascii="仿宋" w:hAnsi="仿宋" w:eastAsia="仿宋" w:cs="宋体"/>
                      <w:color w:val="000000"/>
                      <w:kern w:val="0"/>
                      <w:szCs w:val="21"/>
                    </w:rPr>
                  </w:pPr>
                </w:p>
              </w:tc>
              <w:tc>
                <w:tcPr>
                  <w:tcW w:w="992" w:type="dxa"/>
                  <w:vMerge w:val="continue"/>
                </w:tcPr>
                <w:p w14:paraId="2D5CE74E">
                  <w:pPr>
                    <w:widowControl/>
                    <w:spacing w:after="0" w:line="240" w:lineRule="auto"/>
                    <w:jc w:val="left"/>
                    <w:rPr>
                      <w:rFonts w:ascii="仿宋" w:hAnsi="仿宋" w:eastAsia="仿宋" w:cs="宋体"/>
                      <w:color w:val="000000"/>
                      <w:kern w:val="0"/>
                      <w:szCs w:val="21"/>
                    </w:rPr>
                  </w:pPr>
                </w:p>
              </w:tc>
              <w:tc>
                <w:tcPr>
                  <w:tcW w:w="1134" w:type="dxa"/>
                </w:tcPr>
                <w:p w14:paraId="602270E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肝癌</w:t>
                  </w:r>
                </w:p>
              </w:tc>
              <w:tc>
                <w:tcPr>
                  <w:tcW w:w="3477" w:type="dxa"/>
                </w:tcPr>
                <w:p w14:paraId="24523865">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完成肝癌入院前、入院前3个月、当次就诊期间，腹部磁共振、腹部CT、PET-CT、腹部超声、腹部超声造影、PET-核磁共振等阴阳性字段加工</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完成肝癌入院前3个月内、当次就诊期间，AFP检测、PIVKA-II检测、AFP-L3检测、七种微小核糖核酸、CA199检测、CEA检测等阴阳性字段加工</w:t>
                  </w:r>
                </w:p>
              </w:tc>
            </w:tr>
            <w:tr w14:paraId="132B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167DD1ED">
                  <w:pPr>
                    <w:widowControl/>
                    <w:spacing w:after="0" w:line="240" w:lineRule="auto"/>
                    <w:jc w:val="left"/>
                    <w:rPr>
                      <w:rFonts w:ascii="仿宋" w:hAnsi="仿宋" w:eastAsia="仿宋" w:cs="宋体"/>
                      <w:color w:val="000000"/>
                      <w:kern w:val="0"/>
                      <w:szCs w:val="21"/>
                    </w:rPr>
                  </w:pPr>
                </w:p>
              </w:tc>
              <w:tc>
                <w:tcPr>
                  <w:tcW w:w="992" w:type="dxa"/>
                  <w:vMerge w:val="continue"/>
                </w:tcPr>
                <w:p w14:paraId="73EB1F67">
                  <w:pPr>
                    <w:widowControl/>
                    <w:spacing w:after="0" w:line="240" w:lineRule="auto"/>
                    <w:jc w:val="left"/>
                    <w:rPr>
                      <w:rFonts w:ascii="仿宋" w:hAnsi="仿宋" w:eastAsia="仿宋" w:cs="宋体"/>
                      <w:color w:val="000000"/>
                      <w:kern w:val="0"/>
                      <w:szCs w:val="21"/>
                    </w:rPr>
                  </w:pPr>
                </w:p>
              </w:tc>
              <w:tc>
                <w:tcPr>
                  <w:tcW w:w="1134" w:type="dxa"/>
                </w:tcPr>
                <w:p w14:paraId="1E20A180">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结直肠癌</w:t>
                  </w:r>
                </w:p>
              </w:tc>
              <w:tc>
                <w:tcPr>
                  <w:tcW w:w="3477" w:type="dxa"/>
                </w:tcPr>
                <w:p w14:paraId="64E07D18">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完成结直肠癌入院前6个月内、当次就诊期间，腹部CT、盆腔CT、腹部MRI、盆腔MRI、PET-CT、直肠超声、腹部超声、肠镜检查等阴阳性字段加工</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完成结直肠癌入院前6个月内、当次就诊期间，CA199检测、CEA检测等阴阳性字段加工</w:t>
                  </w:r>
                </w:p>
              </w:tc>
            </w:tr>
            <w:tr w14:paraId="295F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1935F936">
                  <w:pPr>
                    <w:widowControl/>
                    <w:spacing w:after="0" w:line="240" w:lineRule="auto"/>
                    <w:jc w:val="left"/>
                    <w:rPr>
                      <w:rFonts w:ascii="仿宋" w:hAnsi="仿宋" w:eastAsia="仿宋" w:cs="宋体"/>
                      <w:color w:val="000000"/>
                      <w:kern w:val="0"/>
                      <w:szCs w:val="21"/>
                    </w:rPr>
                  </w:pPr>
                </w:p>
              </w:tc>
              <w:tc>
                <w:tcPr>
                  <w:tcW w:w="992" w:type="dxa"/>
                  <w:vMerge w:val="continue"/>
                </w:tcPr>
                <w:p w14:paraId="46A657FF">
                  <w:pPr>
                    <w:widowControl/>
                    <w:spacing w:after="0" w:line="240" w:lineRule="auto"/>
                    <w:jc w:val="left"/>
                    <w:rPr>
                      <w:rFonts w:ascii="仿宋" w:hAnsi="仿宋" w:eastAsia="仿宋" w:cs="宋体"/>
                      <w:color w:val="000000"/>
                      <w:kern w:val="0"/>
                      <w:szCs w:val="21"/>
                    </w:rPr>
                  </w:pPr>
                </w:p>
              </w:tc>
              <w:tc>
                <w:tcPr>
                  <w:tcW w:w="1134" w:type="dxa"/>
                </w:tcPr>
                <w:p w14:paraId="768AA122">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乳腺癌</w:t>
                  </w:r>
                </w:p>
              </w:tc>
              <w:tc>
                <w:tcPr>
                  <w:tcW w:w="3477" w:type="dxa"/>
                </w:tcPr>
                <w:p w14:paraId="3F548AD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乳腺癌入院前3个月内、当次就诊期间，乳腺X线、乳腺超声、乳腺MRI、胸部CT是否阳性字段，入院前12个月内，乳腺X线、乳腺超声、乳腺MRI检查结果是否为BI-RADS1-2类等字段加工，当次就诊期间，乳腺X线、乳腺超声、乳腺MRI检查结果是否为BI-RADS1-3类等字段加工</w:t>
                  </w:r>
                </w:p>
              </w:tc>
            </w:tr>
            <w:tr w14:paraId="2EC7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344A900">
                  <w:pPr>
                    <w:widowControl/>
                    <w:spacing w:after="0" w:line="240" w:lineRule="auto"/>
                    <w:jc w:val="left"/>
                    <w:rPr>
                      <w:rFonts w:ascii="仿宋" w:hAnsi="仿宋" w:eastAsia="仿宋" w:cs="宋体"/>
                      <w:color w:val="000000"/>
                      <w:kern w:val="0"/>
                      <w:szCs w:val="21"/>
                    </w:rPr>
                  </w:pPr>
                </w:p>
              </w:tc>
              <w:tc>
                <w:tcPr>
                  <w:tcW w:w="992" w:type="dxa"/>
                  <w:vMerge w:val="continue"/>
                </w:tcPr>
                <w:p w14:paraId="3C144A61">
                  <w:pPr>
                    <w:widowControl/>
                    <w:spacing w:after="0" w:line="240" w:lineRule="auto"/>
                    <w:jc w:val="left"/>
                    <w:rPr>
                      <w:rFonts w:ascii="仿宋" w:hAnsi="仿宋" w:eastAsia="仿宋" w:cs="宋体"/>
                      <w:color w:val="000000"/>
                      <w:kern w:val="0"/>
                      <w:szCs w:val="21"/>
                    </w:rPr>
                  </w:pPr>
                </w:p>
              </w:tc>
              <w:tc>
                <w:tcPr>
                  <w:tcW w:w="1134" w:type="dxa"/>
                </w:tcPr>
                <w:p w14:paraId="71763BDC">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宫颈癌</w:t>
                  </w:r>
                </w:p>
              </w:tc>
              <w:tc>
                <w:tcPr>
                  <w:tcW w:w="3477" w:type="dxa"/>
                </w:tcPr>
                <w:p w14:paraId="5FE351D8">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完成宫颈癌入院前6个月内、当次就诊期间，腹盆腔超声检查、腹盆腔CT检查、盆腔MRI检查、PET-CT检查等阴阳性字段加工</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完成宫颈癌入院前12个月内、当次就诊期间，SCC检测、CA125检测、CA199检测、NSE检测、CEA检测等阴阳性字段加工</w:t>
                  </w:r>
                </w:p>
              </w:tc>
            </w:tr>
            <w:tr w14:paraId="1DD33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D488BEC">
                  <w:pPr>
                    <w:widowControl/>
                    <w:spacing w:after="0" w:line="240" w:lineRule="auto"/>
                    <w:jc w:val="left"/>
                    <w:rPr>
                      <w:rFonts w:ascii="仿宋" w:hAnsi="仿宋" w:eastAsia="仿宋" w:cs="宋体"/>
                      <w:color w:val="000000"/>
                      <w:kern w:val="0"/>
                      <w:szCs w:val="21"/>
                    </w:rPr>
                  </w:pPr>
                </w:p>
              </w:tc>
              <w:tc>
                <w:tcPr>
                  <w:tcW w:w="992" w:type="dxa"/>
                  <w:vMerge w:val="continue"/>
                </w:tcPr>
                <w:p w14:paraId="232CAF88">
                  <w:pPr>
                    <w:widowControl/>
                    <w:spacing w:after="0" w:line="240" w:lineRule="auto"/>
                    <w:jc w:val="left"/>
                    <w:rPr>
                      <w:rFonts w:ascii="仿宋" w:hAnsi="仿宋" w:eastAsia="仿宋" w:cs="宋体"/>
                      <w:color w:val="000000"/>
                      <w:kern w:val="0"/>
                      <w:szCs w:val="21"/>
                    </w:rPr>
                  </w:pPr>
                </w:p>
              </w:tc>
              <w:tc>
                <w:tcPr>
                  <w:tcW w:w="1134" w:type="dxa"/>
                </w:tcPr>
                <w:p w14:paraId="0456C33C">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食管癌</w:t>
                  </w:r>
                </w:p>
              </w:tc>
              <w:tc>
                <w:tcPr>
                  <w:tcW w:w="3477" w:type="dxa"/>
                </w:tcPr>
                <w:p w14:paraId="0F8C8B93">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完成食管癌入院前6个月内、当次就诊期间，上消化道造影检查、颈部CT检查、胸部CT检查、上腹部CT检查、颈部MRI检查、胸部MRI检查、上腹部MRI检查、PET-CT检查、颈部超声检查等阴阳性字段加工</w:t>
                  </w:r>
                  <w:r>
                    <w:rPr>
                      <w:rFonts w:hint="eastAsia" w:ascii="仿宋" w:hAnsi="仿宋" w:eastAsia="仿宋" w:cs="宋体"/>
                      <w:color w:val="000000"/>
                      <w:kern w:val="0"/>
                      <w:szCs w:val="21"/>
                    </w:rPr>
                    <w:br w:type="textWrapping"/>
                  </w:r>
                  <w:r>
                    <w:rPr>
                      <w:rFonts w:hint="eastAsia" w:ascii="仿宋" w:hAnsi="仿宋" w:eastAsia="仿宋" w:cs="宋体"/>
                      <w:color w:val="000000"/>
                      <w:kern w:val="0"/>
                      <w:szCs w:val="21"/>
                    </w:rPr>
                    <w:t>完成食管癌入院前3个月内、当次就诊期间，CA724检测、CA242检测、CYFRA21-1检测、SCC检测、NSE检测、CEA检测等阴阳性字段加工</w:t>
                  </w:r>
                </w:p>
              </w:tc>
            </w:tr>
            <w:tr w14:paraId="1B34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A1B6D06">
                  <w:pPr>
                    <w:widowControl/>
                    <w:spacing w:after="0" w:line="240" w:lineRule="auto"/>
                    <w:jc w:val="left"/>
                    <w:rPr>
                      <w:rFonts w:ascii="仿宋" w:hAnsi="仿宋" w:eastAsia="仿宋" w:cs="宋体"/>
                      <w:color w:val="000000"/>
                      <w:kern w:val="0"/>
                      <w:szCs w:val="21"/>
                    </w:rPr>
                  </w:pPr>
                </w:p>
              </w:tc>
              <w:tc>
                <w:tcPr>
                  <w:tcW w:w="992" w:type="dxa"/>
                  <w:vMerge w:val="restart"/>
                </w:tcPr>
                <w:p w14:paraId="19325DE4">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随访数据加工服务</w:t>
                  </w:r>
                </w:p>
              </w:tc>
              <w:tc>
                <w:tcPr>
                  <w:tcW w:w="1134" w:type="dxa"/>
                </w:tcPr>
                <w:p w14:paraId="3C48BE15">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肺癌</w:t>
                  </w:r>
                </w:p>
              </w:tc>
              <w:tc>
                <w:tcPr>
                  <w:tcW w:w="3477" w:type="dxa"/>
                </w:tcPr>
                <w:p w14:paraId="4DB105B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完成肺癌随访年龄、随访时间、随访方式、随访状态、是否死亡、死亡时间、死亡原因、是否确诊癌症、确诊癌症分类、癌症分期、癌症分型、诊断癌症时间、诊断医院等字段加工</w:t>
                  </w:r>
                </w:p>
              </w:tc>
            </w:tr>
            <w:tr w14:paraId="7F24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E36ADC4">
                  <w:pPr>
                    <w:widowControl/>
                    <w:spacing w:after="0" w:line="240" w:lineRule="auto"/>
                    <w:jc w:val="left"/>
                    <w:rPr>
                      <w:rFonts w:ascii="仿宋" w:hAnsi="仿宋" w:eastAsia="仿宋" w:cs="宋体"/>
                      <w:color w:val="000000"/>
                      <w:kern w:val="0"/>
                      <w:szCs w:val="21"/>
                    </w:rPr>
                  </w:pPr>
                </w:p>
              </w:tc>
              <w:tc>
                <w:tcPr>
                  <w:tcW w:w="992" w:type="dxa"/>
                  <w:vMerge w:val="continue"/>
                </w:tcPr>
                <w:p w14:paraId="52B5078D">
                  <w:pPr>
                    <w:widowControl/>
                    <w:spacing w:after="0" w:line="240" w:lineRule="auto"/>
                    <w:jc w:val="left"/>
                    <w:rPr>
                      <w:rFonts w:ascii="仿宋" w:hAnsi="仿宋" w:eastAsia="仿宋" w:cs="宋体"/>
                      <w:color w:val="000000"/>
                      <w:kern w:val="0"/>
                      <w:szCs w:val="21"/>
                    </w:rPr>
                  </w:pPr>
                </w:p>
              </w:tc>
              <w:tc>
                <w:tcPr>
                  <w:tcW w:w="1134" w:type="dxa"/>
                </w:tcPr>
                <w:p w14:paraId="05EF93C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胃癌</w:t>
                  </w:r>
                </w:p>
              </w:tc>
              <w:tc>
                <w:tcPr>
                  <w:tcW w:w="3477" w:type="dxa"/>
                </w:tcPr>
                <w:p w14:paraId="5304EDD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完成胃癌随访年龄、随访时间、随访方式、随访状态、是否死亡、死亡时间、死亡原因、是否确诊癌症、确诊癌症分类、癌症分期、癌症分型、诊断癌症时间、诊断医院等字段加工</w:t>
                  </w:r>
                </w:p>
              </w:tc>
            </w:tr>
            <w:tr w14:paraId="0476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F54AF05">
                  <w:pPr>
                    <w:widowControl/>
                    <w:spacing w:after="0" w:line="240" w:lineRule="auto"/>
                    <w:jc w:val="left"/>
                    <w:rPr>
                      <w:rFonts w:ascii="仿宋" w:hAnsi="仿宋" w:eastAsia="仿宋" w:cs="宋体"/>
                      <w:color w:val="000000"/>
                      <w:kern w:val="0"/>
                      <w:szCs w:val="21"/>
                    </w:rPr>
                  </w:pPr>
                </w:p>
              </w:tc>
              <w:tc>
                <w:tcPr>
                  <w:tcW w:w="992" w:type="dxa"/>
                  <w:vMerge w:val="continue"/>
                </w:tcPr>
                <w:p w14:paraId="5ECB265C">
                  <w:pPr>
                    <w:widowControl/>
                    <w:spacing w:after="0" w:line="240" w:lineRule="auto"/>
                    <w:jc w:val="left"/>
                    <w:rPr>
                      <w:rFonts w:ascii="仿宋" w:hAnsi="仿宋" w:eastAsia="仿宋" w:cs="宋体"/>
                      <w:color w:val="000000"/>
                      <w:kern w:val="0"/>
                      <w:szCs w:val="21"/>
                    </w:rPr>
                  </w:pPr>
                </w:p>
              </w:tc>
              <w:tc>
                <w:tcPr>
                  <w:tcW w:w="1134" w:type="dxa"/>
                </w:tcPr>
                <w:p w14:paraId="328B859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肝癌</w:t>
                  </w:r>
                </w:p>
              </w:tc>
              <w:tc>
                <w:tcPr>
                  <w:tcW w:w="3477" w:type="dxa"/>
                </w:tcPr>
                <w:p w14:paraId="2D8FE5F7">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完成肝癌随访年龄、随访时间、随访方式、随访状态、是否死亡、死亡时间、死亡原因、是否确诊癌症、确诊癌症分类、癌症分期、癌症分型、诊断癌症时间、诊断医院等字段加工</w:t>
                  </w:r>
                </w:p>
              </w:tc>
            </w:tr>
            <w:tr w14:paraId="596C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3F64B0DC">
                  <w:pPr>
                    <w:widowControl/>
                    <w:spacing w:after="0" w:line="240" w:lineRule="auto"/>
                    <w:jc w:val="left"/>
                    <w:rPr>
                      <w:rFonts w:ascii="仿宋" w:hAnsi="仿宋" w:eastAsia="仿宋" w:cs="宋体"/>
                      <w:color w:val="000000"/>
                      <w:kern w:val="0"/>
                      <w:szCs w:val="21"/>
                    </w:rPr>
                  </w:pPr>
                </w:p>
              </w:tc>
              <w:tc>
                <w:tcPr>
                  <w:tcW w:w="992" w:type="dxa"/>
                  <w:vMerge w:val="continue"/>
                </w:tcPr>
                <w:p w14:paraId="14E1B866">
                  <w:pPr>
                    <w:widowControl/>
                    <w:spacing w:after="0" w:line="240" w:lineRule="auto"/>
                    <w:jc w:val="left"/>
                    <w:rPr>
                      <w:rFonts w:ascii="仿宋" w:hAnsi="仿宋" w:eastAsia="仿宋" w:cs="宋体"/>
                      <w:color w:val="000000"/>
                      <w:kern w:val="0"/>
                      <w:szCs w:val="21"/>
                    </w:rPr>
                  </w:pPr>
                </w:p>
              </w:tc>
              <w:tc>
                <w:tcPr>
                  <w:tcW w:w="1134" w:type="dxa"/>
                </w:tcPr>
                <w:p w14:paraId="326BD7AE">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结直肠癌</w:t>
                  </w:r>
                </w:p>
              </w:tc>
              <w:tc>
                <w:tcPr>
                  <w:tcW w:w="3477" w:type="dxa"/>
                </w:tcPr>
                <w:p w14:paraId="6E3DF1A5">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完成结直肠癌随访年龄、随访时间、随访方式、随访状态、是否死亡、死亡时间、死亡原因、是否确诊癌症、确诊癌症分类、癌症分期、癌症分型、诊断癌症时间、诊断医院等字段加工</w:t>
                  </w:r>
                </w:p>
              </w:tc>
            </w:tr>
            <w:tr w14:paraId="2691C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26EFCAD9">
                  <w:pPr>
                    <w:widowControl/>
                    <w:spacing w:after="0" w:line="240" w:lineRule="auto"/>
                    <w:jc w:val="left"/>
                    <w:rPr>
                      <w:rFonts w:ascii="仿宋" w:hAnsi="仿宋" w:eastAsia="仿宋" w:cs="宋体"/>
                      <w:color w:val="000000"/>
                      <w:kern w:val="0"/>
                      <w:szCs w:val="21"/>
                    </w:rPr>
                  </w:pPr>
                </w:p>
              </w:tc>
              <w:tc>
                <w:tcPr>
                  <w:tcW w:w="992" w:type="dxa"/>
                  <w:vMerge w:val="continue"/>
                </w:tcPr>
                <w:p w14:paraId="5845BF19">
                  <w:pPr>
                    <w:widowControl/>
                    <w:spacing w:after="0" w:line="240" w:lineRule="auto"/>
                    <w:jc w:val="left"/>
                    <w:rPr>
                      <w:rFonts w:ascii="仿宋" w:hAnsi="仿宋" w:eastAsia="仿宋" w:cs="宋体"/>
                      <w:color w:val="000000"/>
                      <w:kern w:val="0"/>
                      <w:szCs w:val="21"/>
                    </w:rPr>
                  </w:pPr>
                </w:p>
              </w:tc>
              <w:tc>
                <w:tcPr>
                  <w:tcW w:w="1134" w:type="dxa"/>
                </w:tcPr>
                <w:p w14:paraId="06C0FAE0">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乳腺癌</w:t>
                  </w:r>
                </w:p>
              </w:tc>
              <w:tc>
                <w:tcPr>
                  <w:tcW w:w="3477" w:type="dxa"/>
                </w:tcPr>
                <w:p w14:paraId="34652038">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完成乳腺癌随访年龄、随访时间、随访方式、随访状态、是否死亡、死亡时间、死亡原因、是否确诊癌症、确诊癌症分类、癌症分期、癌症分型、诊断癌症时间、诊断医院等字段加工</w:t>
                  </w:r>
                </w:p>
              </w:tc>
            </w:tr>
            <w:tr w14:paraId="1CA73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421A245F">
                  <w:pPr>
                    <w:widowControl/>
                    <w:spacing w:after="0" w:line="240" w:lineRule="auto"/>
                    <w:jc w:val="left"/>
                    <w:rPr>
                      <w:rFonts w:ascii="仿宋" w:hAnsi="仿宋" w:eastAsia="仿宋" w:cs="宋体"/>
                      <w:color w:val="000000"/>
                      <w:kern w:val="0"/>
                      <w:szCs w:val="21"/>
                    </w:rPr>
                  </w:pPr>
                </w:p>
              </w:tc>
              <w:tc>
                <w:tcPr>
                  <w:tcW w:w="992" w:type="dxa"/>
                  <w:vMerge w:val="continue"/>
                </w:tcPr>
                <w:p w14:paraId="7FF22733">
                  <w:pPr>
                    <w:widowControl/>
                    <w:spacing w:after="0" w:line="240" w:lineRule="auto"/>
                    <w:jc w:val="left"/>
                    <w:rPr>
                      <w:rFonts w:ascii="仿宋" w:hAnsi="仿宋" w:eastAsia="仿宋" w:cs="宋体"/>
                      <w:color w:val="000000"/>
                      <w:kern w:val="0"/>
                      <w:szCs w:val="21"/>
                    </w:rPr>
                  </w:pPr>
                </w:p>
              </w:tc>
              <w:tc>
                <w:tcPr>
                  <w:tcW w:w="1134" w:type="dxa"/>
                </w:tcPr>
                <w:p w14:paraId="07D6D5CD">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宫颈癌</w:t>
                  </w:r>
                </w:p>
              </w:tc>
              <w:tc>
                <w:tcPr>
                  <w:tcW w:w="3477" w:type="dxa"/>
                </w:tcPr>
                <w:p w14:paraId="57D4E021">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完成宫颈癌随访年龄、随访时间、随访方式、随访状态、是否死亡、死亡时间、死亡原因、是否确诊癌症、确诊癌症分类、癌症分期、癌症分型、诊断癌症时间、诊断医院等字段加工</w:t>
                  </w:r>
                </w:p>
              </w:tc>
            </w:tr>
            <w:tr w14:paraId="591FA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9" w:type="dxa"/>
                  <w:vMerge w:val="continue"/>
                </w:tcPr>
                <w:p w14:paraId="55EFC2AD">
                  <w:pPr>
                    <w:widowControl/>
                    <w:spacing w:after="0" w:line="240" w:lineRule="auto"/>
                    <w:jc w:val="left"/>
                    <w:rPr>
                      <w:rFonts w:ascii="仿宋" w:hAnsi="仿宋" w:eastAsia="仿宋" w:cs="宋体"/>
                      <w:color w:val="000000"/>
                      <w:kern w:val="0"/>
                      <w:szCs w:val="21"/>
                    </w:rPr>
                  </w:pPr>
                </w:p>
              </w:tc>
              <w:tc>
                <w:tcPr>
                  <w:tcW w:w="992" w:type="dxa"/>
                  <w:vMerge w:val="continue"/>
                </w:tcPr>
                <w:p w14:paraId="6A0C4841">
                  <w:pPr>
                    <w:widowControl/>
                    <w:spacing w:after="0" w:line="240" w:lineRule="auto"/>
                    <w:jc w:val="left"/>
                    <w:rPr>
                      <w:rFonts w:ascii="仿宋" w:hAnsi="仿宋" w:eastAsia="仿宋" w:cs="宋体"/>
                      <w:color w:val="000000"/>
                      <w:kern w:val="0"/>
                      <w:szCs w:val="21"/>
                    </w:rPr>
                  </w:pPr>
                </w:p>
              </w:tc>
              <w:tc>
                <w:tcPr>
                  <w:tcW w:w="1134" w:type="dxa"/>
                </w:tcPr>
                <w:p w14:paraId="743CC48B">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食管癌</w:t>
                  </w:r>
                </w:p>
              </w:tc>
              <w:tc>
                <w:tcPr>
                  <w:tcW w:w="3477" w:type="dxa"/>
                </w:tcPr>
                <w:p w14:paraId="5A4D0E04">
                  <w:pPr>
                    <w:widowControl/>
                    <w:spacing w:after="0" w:line="240" w:lineRule="auto"/>
                    <w:jc w:val="left"/>
                    <w:rPr>
                      <w:rFonts w:hint="eastAsia" w:ascii="仿宋" w:hAnsi="仿宋" w:eastAsia="仿宋" w:cs="宋体"/>
                      <w:color w:val="000000"/>
                      <w:kern w:val="0"/>
                      <w:szCs w:val="21"/>
                    </w:rPr>
                  </w:pPr>
                  <w:r>
                    <w:rPr>
                      <w:rFonts w:hint="eastAsia" w:ascii="仿宋" w:hAnsi="仿宋" w:eastAsia="仿宋" w:cs="宋体"/>
                      <w:color w:val="000000"/>
                      <w:kern w:val="0"/>
                      <w:szCs w:val="21"/>
                    </w:rPr>
                    <w:t>完成食管癌随访年龄、随访时间、随访方式、随访状态、是否死亡、死亡时间、死亡原因、是否确诊癌症、确诊癌症分类、癌症分期、癌症分型、诊断癌症时间、诊断医院等字段加工</w:t>
                  </w:r>
                </w:p>
              </w:tc>
            </w:tr>
          </w:tbl>
          <w:p w14:paraId="458094BF">
            <w:pPr>
              <w:widowControl/>
              <w:textAlignment w:val="center"/>
              <w:rPr>
                <w:rFonts w:hint="eastAsia" w:ascii="仿宋" w:hAnsi="仿宋" w:eastAsia="仿宋" w:cs="仿宋"/>
                <w:b/>
                <w:bCs/>
                <w:color w:val="000000"/>
                <w:kern w:val="0"/>
                <w:szCs w:val="21"/>
              </w:rPr>
            </w:pPr>
          </w:p>
        </w:tc>
      </w:tr>
      <w:tr w14:paraId="15FF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94" w:type="dxa"/>
            <w:vAlign w:val="center"/>
          </w:tcPr>
          <w:p w14:paraId="4567C426">
            <w:pPr>
              <w:pStyle w:val="2"/>
              <w:widowControl/>
              <w:shd w:val="clear" w:color="auto" w:fill="FFFFFF"/>
              <w:spacing w:before="0" w:beforeAutospacing="0" w:after="0" w:afterAutospacing="0" w:line="23" w:lineRule="atLeast"/>
              <w:jc w:val="center"/>
              <w:rPr>
                <w:rFonts w:ascii="仿宋" w:hAnsi="仿宋" w:eastAsia="仿宋" w:cs="仿宋"/>
                <w:b w:val="0"/>
                <w:bCs/>
                <w:sz w:val="30"/>
                <w:szCs w:val="30"/>
                <w:shd w:val="clear" w:color="auto" w:fill="FFFFFF"/>
              </w:rPr>
            </w:pPr>
            <w:r>
              <w:rPr>
                <w:rFonts w:ascii="仿宋" w:hAnsi="仿宋" w:eastAsia="仿宋" w:cs="仿宋"/>
                <w:b w:val="0"/>
                <w:bCs/>
                <w:sz w:val="30"/>
                <w:szCs w:val="30"/>
                <w:shd w:val="clear" w:color="auto" w:fill="FFFFFF"/>
              </w:rPr>
              <w:t>硬件设施要求</w:t>
            </w:r>
          </w:p>
        </w:tc>
        <w:tc>
          <w:tcPr>
            <w:tcW w:w="6628" w:type="dxa"/>
          </w:tcPr>
          <w:p w14:paraId="38DCC1E4">
            <w:pPr>
              <w:spacing w:after="0" w:line="240" w:lineRule="auto"/>
              <w:jc w:val="left"/>
              <w:rPr>
                <w:rFonts w:hint="eastAsia" w:ascii="仿宋" w:hAnsi="仿宋" w:eastAsia="仿宋" w:cs="仿宋"/>
                <w:szCs w:val="21"/>
              </w:rPr>
            </w:pPr>
            <w:r>
              <w:rPr>
                <w:rFonts w:hint="eastAsia" w:ascii="仿宋" w:hAnsi="仿宋" w:eastAsia="仿宋" w:cs="仿宋"/>
                <w:szCs w:val="21"/>
              </w:rPr>
              <w:t>服务器与存储（</w:t>
            </w:r>
            <w:r>
              <w:rPr>
                <w:rFonts w:hint="eastAsia" w:ascii="仿宋" w:hAnsi="仿宋" w:eastAsia="仿宋" w:cs="仿宋"/>
                <w:szCs w:val="21"/>
                <w:lang w:eastAsia="zh-CN"/>
              </w:rPr>
              <w:t>中标方提供系配套运行所需的服务器硬件设备</w:t>
            </w:r>
            <w:r>
              <w:rPr>
                <w:rFonts w:hint="eastAsia" w:ascii="仿宋" w:hAnsi="仿宋" w:eastAsia="仿宋" w:cs="仿宋"/>
                <w:szCs w:val="21"/>
                <w:lang w:val="en-US" w:eastAsia="zh-CN"/>
              </w:rPr>
              <w:t>使用权</w:t>
            </w:r>
            <w:r>
              <w:rPr>
                <w:rFonts w:hint="eastAsia" w:ascii="仿宋" w:hAnsi="仿宋" w:eastAsia="仿宋" w:cs="仿宋"/>
                <w:szCs w:val="21"/>
                <w:lang w:eastAsia="zh-CN"/>
              </w:rPr>
              <w:t>，设备使用期限从系统上线验收合格之日起 1 年</w:t>
            </w:r>
            <w:r>
              <w:rPr>
                <w:rFonts w:hint="eastAsia" w:ascii="仿宋" w:hAnsi="仿宋" w:eastAsia="仿宋" w:cs="仿宋"/>
                <w:szCs w:val="21"/>
              </w:rPr>
              <w:t>）</w:t>
            </w:r>
          </w:p>
          <w:p w14:paraId="09820B2B">
            <w:pPr>
              <w:spacing w:after="0" w:line="240" w:lineRule="auto"/>
              <w:jc w:val="left"/>
              <w:rPr>
                <w:rFonts w:ascii="仿宋" w:hAnsi="仿宋" w:eastAsia="仿宋" w:cs="仿宋"/>
                <w:szCs w:val="21"/>
              </w:rPr>
            </w:pPr>
            <w:r>
              <w:rPr>
                <w:rFonts w:hint="eastAsia" w:ascii="仿宋" w:hAnsi="仿宋" w:eastAsia="仿宋" w:cs="仿宋"/>
                <w:szCs w:val="21"/>
              </w:rPr>
              <w:t>应用+算法服务器2台：CPU：2颗（主频≥2.6G，单块CPU≥20C）处理器内存：128GB ≥2933MT/s DDR4内存，24个内存插槽硬盘：2块480GB固态硬盘raid1（操作系统），2块1.92TB固态硬盘raid1（数据）阵列卡一块2GB缓存独立阵列卡，需支持硬RAID级别（RAID 1, 5, 10），配置锂电池支持掉电保护外观2U机架式，前置面板，配置滑动导轨1块双口以太网卡端口2块双口万兆网卡（带光模块）电源高效节能750W冗余电源，冗余风扇，支持热插拔</w:t>
            </w:r>
          </w:p>
          <w:p w14:paraId="08072ABD">
            <w:pPr>
              <w:spacing w:after="0" w:line="240" w:lineRule="auto"/>
              <w:jc w:val="left"/>
              <w:rPr>
                <w:rFonts w:hint="eastAsia" w:ascii="仿宋" w:hAnsi="仿宋" w:eastAsia="仿宋" w:cs="仿宋"/>
                <w:szCs w:val="21"/>
              </w:rPr>
            </w:pPr>
            <w:r>
              <w:rPr>
                <w:rFonts w:hint="eastAsia" w:ascii="仿宋" w:hAnsi="仿宋" w:eastAsia="仿宋" w:cs="仿宋"/>
                <w:szCs w:val="21"/>
              </w:rPr>
              <w:t>应用+算法服务器1台：CPU 2颗(主频≥2.9G,单块CPU≥20C)处理器内存：128GB 3200MT/s DDR4内存，24个内存插槽硬盘：2块1TB 3.5寸机械硬盘raid1(操作系统)2块4TB 3.5寸机械硬盘raid1(nfs数据备份，程序日志收集).外观2U机架式，前置面板，配置滑动导轨1块双口以太网卡端口2块双口万兆网卡（带光模块）电源高效节能750W冗余电源，冗余风扇，支持热插拔</w:t>
            </w:r>
          </w:p>
          <w:p w14:paraId="AB70B3A6">
            <w:pPr>
              <w:spacing w:after="0" w:line="240" w:lineRule="auto"/>
              <w:jc w:val="left"/>
              <w:rPr>
                <w:rFonts w:hint="eastAsia" w:ascii="仿宋" w:hAnsi="仿宋" w:eastAsia="仿宋" w:cs="仿宋"/>
                <w:szCs w:val="21"/>
              </w:rPr>
            </w:pPr>
          </w:p>
        </w:tc>
      </w:tr>
      <w:tr w14:paraId="1CCC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8" w:hRule="atLeast"/>
        </w:trPr>
        <w:tc>
          <w:tcPr>
            <w:tcW w:w="1894" w:type="dxa"/>
            <w:vAlign w:val="center"/>
          </w:tcPr>
          <w:p w14:paraId="7C2647E7">
            <w:pPr>
              <w:pStyle w:val="2"/>
              <w:widowControl/>
              <w:shd w:val="clear" w:color="auto" w:fill="FFFFFF"/>
              <w:spacing w:before="0" w:beforeAutospacing="0" w:after="0" w:afterAutospacing="0" w:line="23" w:lineRule="atLeast"/>
              <w:jc w:val="center"/>
              <w:rPr>
                <w:rFonts w:ascii="仿宋" w:hAnsi="仿宋" w:eastAsia="仿宋" w:cs="仿宋"/>
                <w:b w:val="0"/>
                <w:bCs/>
                <w:sz w:val="30"/>
                <w:szCs w:val="30"/>
                <w:shd w:val="clear" w:color="auto" w:fill="FFFFFF"/>
              </w:rPr>
            </w:pPr>
            <w:r>
              <w:rPr>
                <w:rFonts w:ascii="仿宋" w:hAnsi="仿宋" w:eastAsia="仿宋" w:cs="仿宋"/>
                <w:b w:val="0"/>
                <w:bCs/>
                <w:sz w:val="30"/>
                <w:szCs w:val="30"/>
                <w:shd w:val="clear" w:color="auto" w:fill="FFFFFF"/>
              </w:rPr>
              <w:t>与其他系统的集成要求</w:t>
            </w:r>
          </w:p>
        </w:tc>
        <w:tc>
          <w:tcPr>
            <w:tcW w:w="6628" w:type="dxa"/>
          </w:tcPr>
          <w:p w14:paraId="63A16479">
            <w:pPr>
              <w:spacing w:after="0" w:line="240" w:lineRule="auto"/>
              <w:rPr>
                <w:rFonts w:hint="eastAsia" w:ascii="仿宋" w:hAnsi="仿宋" w:eastAsia="仿宋" w:cs="仿宋"/>
                <w:szCs w:val="21"/>
              </w:rPr>
            </w:pPr>
            <w:r>
              <w:rPr>
                <w:rFonts w:hint="eastAsia" w:ascii="仿宋" w:hAnsi="仿宋" w:eastAsia="仿宋" w:cs="仿宋"/>
                <w:szCs w:val="21"/>
              </w:rPr>
              <w:t>1.对接系统（不少于以下）：HIS/EMR、LIS、PACS/RIS、CDR/数据平台、统一身份与权限、集成平台/ESB等。</w:t>
            </w:r>
          </w:p>
          <w:p w14:paraId="41986407">
            <w:pPr>
              <w:spacing w:after="0" w:line="240" w:lineRule="auto"/>
              <w:rPr>
                <w:rFonts w:hint="eastAsia" w:ascii="仿宋" w:hAnsi="仿宋" w:eastAsia="仿宋" w:cs="仿宋"/>
                <w:szCs w:val="21"/>
              </w:rPr>
            </w:pPr>
            <w:r>
              <w:rPr>
                <w:rFonts w:hint="eastAsia" w:ascii="仿宋" w:hAnsi="仿宋" w:eastAsia="仿宋" w:cs="仿宋"/>
                <w:szCs w:val="21"/>
              </w:rPr>
              <w:t>2.接口方式：HL7 v2.x、FHIR R4（选配）、REST/JSON、WebService、MQ、文件/ETL；提供接口字典与映射、重试与补偿机制、幂等控制与顺序一致性。</w:t>
            </w:r>
          </w:p>
          <w:p w14:paraId="0E4233DE">
            <w:pPr>
              <w:spacing w:after="0" w:line="240" w:lineRule="auto"/>
              <w:rPr>
                <w:rFonts w:hint="eastAsia" w:ascii="仿宋" w:hAnsi="仿宋" w:eastAsia="仿宋" w:cs="仿宋"/>
                <w:szCs w:val="21"/>
                <w:highlight w:val="yellow"/>
              </w:rPr>
            </w:pPr>
            <w:r>
              <w:rPr>
                <w:rFonts w:hint="eastAsia" w:ascii="仿宋" w:hAnsi="仿宋" w:eastAsia="仿宋" w:cs="仿宋"/>
                <w:szCs w:val="21"/>
              </w:rPr>
              <w:t>3.接口费用：涉及第三方厂商接口开通/改造/授权费用，医院方负责协调落地并承担自身和第三方厂商的接口改造成本。</w:t>
            </w:r>
          </w:p>
        </w:tc>
      </w:tr>
      <w:tr w14:paraId="66E0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8" w:hRule="atLeast"/>
        </w:trPr>
        <w:tc>
          <w:tcPr>
            <w:tcW w:w="1894" w:type="dxa"/>
            <w:vAlign w:val="center"/>
          </w:tcPr>
          <w:p w14:paraId="6C1EC154">
            <w:pPr>
              <w:pStyle w:val="2"/>
              <w:widowControl/>
              <w:shd w:val="clear" w:color="auto" w:fill="FFFFFF"/>
              <w:spacing w:before="0" w:beforeAutospacing="0" w:after="0" w:afterAutospacing="0" w:line="23" w:lineRule="atLeast"/>
              <w:jc w:val="center"/>
              <w:rPr>
                <w:rFonts w:ascii="仿宋" w:hAnsi="仿宋" w:eastAsia="仿宋" w:cs="仿宋"/>
                <w:b w:val="0"/>
                <w:bCs/>
                <w:sz w:val="30"/>
                <w:szCs w:val="30"/>
                <w:shd w:val="clear" w:color="auto" w:fill="FFFFFF"/>
              </w:rPr>
            </w:pPr>
            <w:r>
              <w:rPr>
                <w:rFonts w:ascii="仿宋" w:hAnsi="仿宋" w:eastAsia="仿宋" w:cs="仿宋"/>
                <w:b w:val="0"/>
                <w:bCs/>
                <w:sz w:val="30"/>
                <w:szCs w:val="30"/>
                <w:shd w:val="clear" w:color="auto" w:fill="FFFFFF"/>
              </w:rPr>
              <w:t>安全性与权限控制要求</w:t>
            </w:r>
          </w:p>
        </w:tc>
        <w:tc>
          <w:tcPr>
            <w:tcW w:w="6628" w:type="dxa"/>
          </w:tcPr>
          <w:p w14:paraId="72EBADDF">
            <w:pPr>
              <w:rPr>
                <w:rFonts w:hint="eastAsia" w:ascii="仿宋" w:hAnsi="仿宋" w:eastAsia="仿宋" w:cs="仿宋"/>
                <w:szCs w:val="21"/>
              </w:rPr>
            </w:pPr>
            <w:r>
              <w:rPr>
                <w:rFonts w:hint="eastAsia" w:ascii="仿宋" w:hAnsi="仿宋" w:eastAsia="仿宋" w:cs="仿宋"/>
                <w:szCs w:val="21"/>
              </w:rPr>
              <w:t>1、系统需满足《网络安全等级保护条例》相关要求。</w:t>
            </w:r>
          </w:p>
          <w:p w14:paraId="567A35AD">
            <w:pPr>
              <w:rPr>
                <w:rFonts w:hint="eastAsia" w:ascii="仿宋" w:hAnsi="仿宋" w:eastAsia="仿宋" w:cs="仿宋"/>
                <w:szCs w:val="21"/>
              </w:rPr>
            </w:pPr>
            <w:r>
              <w:rPr>
                <w:rFonts w:hint="eastAsia" w:ascii="仿宋" w:hAnsi="仿宋" w:eastAsia="仿宋" w:cs="仿宋"/>
                <w:szCs w:val="21"/>
              </w:rPr>
              <w:t>2、配合医院每年的信息安全等级保护测评、公安局及卫健委年度安全检查、公安部护网行动，对上级和检测报告中指出涉及系统存在的风险内容立即进行整改。</w:t>
            </w:r>
          </w:p>
          <w:p w14:paraId="296A1CD1">
            <w:pPr>
              <w:spacing w:after="0" w:line="240" w:lineRule="auto"/>
              <w:jc w:val="left"/>
              <w:rPr>
                <w:rFonts w:hint="eastAsia" w:ascii="仿宋" w:hAnsi="仿宋" w:eastAsia="仿宋" w:cs="仿宋"/>
                <w:szCs w:val="21"/>
              </w:rPr>
            </w:pPr>
            <w:r>
              <w:rPr>
                <w:rFonts w:hint="eastAsia" w:ascii="仿宋" w:hAnsi="仿宋" w:eastAsia="仿宋" w:cs="仿宋"/>
                <w:szCs w:val="21"/>
              </w:rPr>
              <w:t>3、承建单位需签订患者隐私数据保护协议。</w:t>
            </w:r>
          </w:p>
        </w:tc>
      </w:tr>
      <w:tr w14:paraId="5360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8" w:hRule="atLeast"/>
        </w:trPr>
        <w:tc>
          <w:tcPr>
            <w:tcW w:w="1894" w:type="dxa"/>
            <w:vAlign w:val="center"/>
          </w:tcPr>
          <w:p w14:paraId="47A22B3A">
            <w:pPr>
              <w:pStyle w:val="2"/>
              <w:widowControl/>
              <w:shd w:val="clear" w:color="auto" w:fill="FFFFFF"/>
              <w:spacing w:before="0" w:beforeAutospacing="0" w:after="0" w:afterAutospacing="0" w:line="23" w:lineRule="atLeast"/>
              <w:jc w:val="center"/>
              <w:rPr>
                <w:rFonts w:ascii="仿宋" w:hAnsi="仿宋" w:eastAsia="仿宋" w:cs="仿宋"/>
                <w:b w:val="0"/>
                <w:bCs/>
                <w:sz w:val="30"/>
                <w:szCs w:val="30"/>
                <w:shd w:val="clear" w:color="auto" w:fill="FFFFFF"/>
              </w:rPr>
            </w:pPr>
            <w:r>
              <w:rPr>
                <w:rFonts w:ascii="仿宋" w:hAnsi="仿宋" w:eastAsia="仿宋" w:cs="仿宋"/>
                <w:b w:val="0"/>
                <w:bCs/>
                <w:sz w:val="30"/>
                <w:szCs w:val="30"/>
                <w:shd w:val="clear" w:color="auto" w:fill="FFFFFF"/>
              </w:rPr>
              <w:t>实施及售后服务要求</w:t>
            </w:r>
          </w:p>
        </w:tc>
        <w:tc>
          <w:tcPr>
            <w:tcW w:w="6628" w:type="dxa"/>
          </w:tcPr>
          <w:p w14:paraId="33613B38">
            <w:pPr>
              <w:spacing w:after="0" w:line="240" w:lineRule="auto"/>
              <w:jc w:val="left"/>
              <w:rPr>
                <w:rFonts w:hint="eastAsia" w:ascii="仿宋" w:hAnsi="仿宋" w:eastAsia="仿宋" w:cs="仿宋"/>
                <w:szCs w:val="21"/>
              </w:rPr>
            </w:pPr>
          </w:p>
          <w:p w14:paraId="3429A371">
            <w:pPr>
              <w:rPr>
                <w:rFonts w:hint="eastAsia" w:ascii="仿宋" w:hAnsi="仿宋" w:eastAsia="仿宋" w:cs="仿宋"/>
                <w:b/>
                <w:bCs/>
                <w:szCs w:val="21"/>
              </w:rPr>
            </w:pPr>
            <w:r>
              <w:rPr>
                <w:rFonts w:hint="eastAsia" w:ascii="仿宋" w:hAnsi="仿宋" w:eastAsia="仿宋" w:cs="仿宋"/>
                <w:b/>
                <w:bCs/>
                <w:szCs w:val="21"/>
              </w:rPr>
              <w:t>一、项目实施要求</w:t>
            </w:r>
          </w:p>
          <w:p w14:paraId="7477C77C">
            <w:pPr>
              <w:ind w:firstLine="420" w:firstLineChars="200"/>
              <w:rPr>
                <w:rFonts w:hint="eastAsia" w:ascii="仿宋" w:hAnsi="仿宋" w:eastAsia="仿宋" w:cs="仿宋"/>
                <w:szCs w:val="21"/>
              </w:rPr>
            </w:pPr>
            <w:r>
              <w:rPr>
                <w:rFonts w:hint="eastAsia" w:ascii="仿宋" w:hAnsi="仿宋" w:eastAsia="仿宋" w:cs="仿宋"/>
                <w:szCs w:val="21"/>
              </w:rPr>
              <w:t>根据采购人实际业务需求，制定出完整合理与可行的项目实施与管理方案，在项目管理方案中需充分体现投标人为本项目建立的项目管理框架、项目管理规范和工作制度、项目管理组织、管理的关键因素和具体管理的内容和质量控制办法，能够体现项目管理方面的经验和能力，并在项目实施过程中严格执行。</w:t>
            </w:r>
          </w:p>
          <w:p w14:paraId="322CCB58">
            <w:pPr>
              <w:ind w:firstLine="420" w:firstLineChars="200"/>
              <w:rPr>
                <w:rFonts w:hint="eastAsia" w:ascii="仿宋" w:hAnsi="仿宋" w:eastAsia="仿宋" w:cs="仿宋"/>
                <w:szCs w:val="21"/>
              </w:rPr>
            </w:pPr>
            <w:r>
              <w:rPr>
                <w:rFonts w:hint="eastAsia" w:ascii="仿宋" w:hAnsi="仿宋" w:eastAsia="仿宋" w:cs="仿宋"/>
                <w:szCs w:val="21"/>
              </w:rPr>
              <w:t>重视项目组织及人员管理，给出项目组织结构图并对组织职责及人员分工进行详细说明。必须重视项目实施的质量管理与安全保密管理措施，确保本项目安全实施并确保质量符合要求。必须重视项目计划与进度管理，确保在规定的时间内完成项目所需的全部工作和必须完成的工作各个过程。</w:t>
            </w:r>
          </w:p>
          <w:p w14:paraId="7B81CD00">
            <w:pPr>
              <w:ind w:firstLine="420" w:firstLineChars="200"/>
              <w:rPr>
                <w:rFonts w:hint="eastAsia" w:ascii="仿宋" w:hAnsi="仿宋" w:eastAsia="仿宋" w:cs="仿宋"/>
                <w:szCs w:val="21"/>
              </w:rPr>
            </w:pPr>
            <w:r>
              <w:rPr>
                <w:rFonts w:hint="eastAsia" w:ascii="仿宋" w:hAnsi="仿宋" w:eastAsia="仿宋" w:cs="仿宋"/>
                <w:szCs w:val="21"/>
              </w:rPr>
              <w:t>在项目实施过程中投标人须加强与采购人多渠道沟通，沟通方式不限于定期会议、文件汇报和专题会议。通过沟通确保在项目实施过程中存在的问题能够及时理解并达成一致，使问题得到有效快速的解决。</w:t>
            </w:r>
          </w:p>
          <w:p w14:paraId="3DA277A1">
            <w:pPr>
              <w:ind w:firstLine="420" w:firstLineChars="200"/>
              <w:rPr>
                <w:rFonts w:hint="eastAsia" w:ascii="仿宋" w:hAnsi="仿宋" w:eastAsia="仿宋" w:cs="仿宋"/>
                <w:szCs w:val="21"/>
              </w:rPr>
            </w:pPr>
            <w:r>
              <w:rPr>
                <w:rFonts w:hint="eastAsia" w:ascii="仿宋" w:hAnsi="仿宋" w:eastAsia="仿宋" w:cs="仿宋"/>
                <w:szCs w:val="21"/>
              </w:rPr>
              <w:t>为了按时完成各项目建设的全部工作，投标人需提供进度计划管理方案，给出本项目实施总体计划、详细进度计划、进度计划控制方法和保障措施，确保能够按照项目时间要求完成项目的实施。</w:t>
            </w:r>
          </w:p>
          <w:p w14:paraId="1CD4346E">
            <w:pPr>
              <w:ind w:firstLine="420" w:firstLineChars="200"/>
              <w:rPr>
                <w:rFonts w:hint="eastAsia" w:ascii="仿宋" w:hAnsi="仿宋" w:eastAsia="仿宋" w:cs="仿宋"/>
                <w:szCs w:val="21"/>
              </w:rPr>
            </w:pPr>
            <w:r>
              <w:rPr>
                <w:rFonts w:hint="eastAsia" w:ascii="仿宋" w:hAnsi="仿宋" w:eastAsia="仿宋" w:cs="仿宋"/>
                <w:szCs w:val="21"/>
              </w:rPr>
              <w:t>项目建设周期：合同签订之日起6个月内交付。若因采购人或法律政策等原因导致项目起始时间变化、发生暂停，项目总期限不变，时间相应顺延。</w:t>
            </w:r>
          </w:p>
          <w:p w14:paraId="13EC2ABE">
            <w:pPr>
              <w:ind w:firstLine="420" w:firstLineChars="200"/>
              <w:rPr>
                <w:rFonts w:hint="eastAsia" w:ascii="仿宋" w:hAnsi="仿宋" w:eastAsia="仿宋" w:cs="仿宋"/>
                <w:szCs w:val="21"/>
              </w:rPr>
            </w:pPr>
            <w:r>
              <w:rPr>
                <w:rFonts w:hint="eastAsia" w:ascii="仿宋" w:hAnsi="仿宋" w:eastAsia="仿宋" w:cs="仿宋"/>
                <w:szCs w:val="21"/>
              </w:rPr>
              <w:t>项目实施要求：投标人应结合本项目实际实施需求，提供完整合理的项目实施方案，方案内容包括但不限于实施组织与人员、总体周期计划与各阶段详细计划、以及实施质量保障。</w:t>
            </w:r>
          </w:p>
          <w:p w14:paraId="66307923">
            <w:pPr>
              <w:ind w:firstLine="420" w:firstLineChars="200"/>
              <w:rPr>
                <w:rFonts w:hint="eastAsia" w:ascii="仿宋" w:hAnsi="仿宋" w:eastAsia="仿宋" w:cs="仿宋"/>
                <w:szCs w:val="21"/>
              </w:rPr>
            </w:pPr>
            <w:r>
              <w:rPr>
                <w:rFonts w:hint="eastAsia" w:ascii="仿宋" w:hAnsi="仿宋" w:eastAsia="仿宋" w:cs="仿宋"/>
                <w:szCs w:val="21"/>
              </w:rPr>
              <w:t>项目实施交付地点：采购人指定的地点。</w:t>
            </w:r>
          </w:p>
          <w:p w14:paraId="6CA423CE">
            <w:pPr>
              <w:ind w:firstLine="420" w:firstLineChars="200"/>
              <w:rPr>
                <w:rFonts w:hint="eastAsia" w:ascii="仿宋" w:hAnsi="仿宋" w:eastAsia="仿宋" w:cs="仿宋"/>
                <w:szCs w:val="21"/>
              </w:rPr>
            </w:pPr>
            <w:r>
              <w:rPr>
                <w:rFonts w:hint="eastAsia" w:ascii="仿宋" w:hAnsi="仿宋" w:eastAsia="仿宋" w:cs="仿宋"/>
                <w:szCs w:val="21"/>
              </w:rPr>
              <w:t>项目实施人员要求：为确保项目实施质量达到预期目标，投标人应建立分工明确、职责清楚的项目管理组织架构、明确各岗位的职责和任职资格，提供具有类似项目实施和管理经验且稳定的专业化团队，配备的项目人员需具有较强的沟通能力，具有较强的责任感和服务意识。</w:t>
            </w:r>
          </w:p>
          <w:p w14:paraId="6FFE8BD8">
            <w:pPr>
              <w:ind w:firstLine="420" w:firstLineChars="200"/>
              <w:rPr>
                <w:rFonts w:hint="eastAsia" w:ascii="仿宋" w:hAnsi="仿宋" w:eastAsia="仿宋" w:cs="仿宋"/>
                <w:szCs w:val="21"/>
              </w:rPr>
            </w:pPr>
            <w:r>
              <w:rPr>
                <w:rFonts w:hint="eastAsia" w:ascii="仿宋" w:hAnsi="仿宋" w:eastAsia="仿宋" w:cs="仿宋"/>
                <w:szCs w:val="21"/>
              </w:rPr>
              <w:t>项目实施团队角色配置至少包括：项目负责人、技术负责人、肿瘤学专业人员、软件工程专业人员、信息安全专业人员。</w:t>
            </w:r>
          </w:p>
          <w:p w14:paraId="1347E0F9">
            <w:pPr>
              <w:ind w:firstLine="420" w:firstLineChars="200"/>
              <w:rPr>
                <w:rFonts w:hint="eastAsia" w:ascii="仿宋" w:hAnsi="仿宋" w:eastAsia="仿宋" w:cs="仿宋"/>
                <w:szCs w:val="21"/>
              </w:rPr>
            </w:pPr>
            <w:r>
              <w:rPr>
                <w:rFonts w:hint="eastAsia" w:ascii="仿宋" w:hAnsi="仿宋" w:eastAsia="仿宋" w:cs="仿宋"/>
                <w:szCs w:val="21"/>
              </w:rPr>
              <w:t>应承诺在项目不同阶段根据项目需求配置足够的人员组织实施项目，确保按项目进度完成建设工作。项目建设过程中，投标人可更换采购人认为不合适的人员。</w:t>
            </w:r>
          </w:p>
          <w:p w14:paraId="478E5B8A">
            <w:pPr>
              <w:ind w:firstLine="420" w:firstLineChars="200"/>
              <w:rPr>
                <w:rFonts w:hint="eastAsia" w:ascii="仿宋" w:hAnsi="仿宋" w:eastAsia="仿宋" w:cs="仿宋"/>
                <w:szCs w:val="21"/>
              </w:rPr>
            </w:pPr>
            <w:r>
              <w:rPr>
                <w:rFonts w:hint="eastAsia" w:ascii="仿宋" w:hAnsi="仿宋" w:eastAsia="仿宋" w:cs="仿宋"/>
                <w:szCs w:val="21"/>
              </w:rPr>
              <w:t>采购人提供必要的场地和部署工作条件，协调组织相关责任人及时配合项目相关实施与验收工作。</w:t>
            </w:r>
          </w:p>
          <w:p w14:paraId="51C7EBE3">
            <w:pPr>
              <w:ind w:firstLine="420" w:firstLineChars="200"/>
              <w:rPr>
                <w:rFonts w:hint="eastAsia" w:ascii="仿宋" w:hAnsi="仿宋" w:eastAsia="仿宋" w:cs="仿宋"/>
                <w:szCs w:val="21"/>
              </w:rPr>
            </w:pPr>
            <w:r>
              <w:rPr>
                <w:rFonts w:hint="eastAsia" w:ascii="仿宋" w:hAnsi="仿宋" w:eastAsia="仿宋" w:cs="仿宋"/>
                <w:szCs w:val="21"/>
              </w:rPr>
              <w:t>对本项目的所有技术文件以及采购人提供的内部资料、技术文档和信息予以保密。投标人应遵守与采购人签订的保密协议，未经采购人书面许可，不得以任何形式向第三方透露本标书以及本项目的任何内容。一旦因投标人的原因造成泄密，应承担相应责任。</w:t>
            </w:r>
          </w:p>
          <w:p w14:paraId="7E571341">
            <w:pPr>
              <w:rPr>
                <w:rFonts w:hint="eastAsia" w:ascii="仿宋" w:hAnsi="仿宋" w:eastAsia="仿宋" w:cs="仿宋"/>
                <w:b/>
                <w:bCs/>
                <w:szCs w:val="21"/>
              </w:rPr>
            </w:pPr>
            <w:r>
              <w:rPr>
                <w:rFonts w:hint="eastAsia" w:ascii="仿宋" w:hAnsi="仿宋" w:eastAsia="仿宋" w:cs="仿宋"/>
                <w:b/>
                <w:bCs/>
                <w:szCs w:val="21"/>
              </w:rPr>
              <w:t>二、售后维护服务及要求</w:t>
            </w:r>
          </w:p>
          <w:p w14:paraId="737E8E27">
            <w:pPr>
              <w:ind w:firstLine="420" w:firstLineChars="200"/>
              <w:rPr>
                <w:rFonts w:hint="eastAsia" w:ascii="仿宋" w:hAnsi="仿宋" w:eastAsia="仿宋" w:cs="仿宋"/>
                <w:szCs w:val="21"/>
              </w:rPr>
            </w:pPr>
            <w:r>
              <w:rPr>
                <w:rFonts w:hint="eastAsia" w:ascii="仿宋" w:hAnsi="仿宋" w:eastAsia="仿宋" w:cs="仿宋"/>
                <w:szCs w:val="21"/>
              </w:rPr>
              <w:t>针对本项目的售后服务，须提供完整可行的售后服务方案，包括但不限于售后服务机构及服务团队构成、售后服务方式、服务响应时间及服务内容。</w:t>
            </w:r>
          </w:p>
          <w:p w14:paraId="59206EBE">
            <w:pPr>
              <w:ind w:firstLine="420" w:firstLineChars="200"/>
              <w:rPr>
                <w:rFonts w:hint="eastAsia" w:ascii="仿宋" w:hAnsi="仿宋" w:eastAsia="仿宋" w:cs="仿宋"/>
                <w:szCs w:val="21"/>
              </w:rPr>
            </w:pPr>
            <w:r>
              <w:rPr>
                <w:rFonts w:hint="eastAsia" w:ascii="仿宋" w:hAnsi="仿宋" w:eastAsia="仿宋" w:cs="仿宋"/>
                <w:szCs w:val="21"/>
              </w:rPr>
              <w:t>1.售后服务质保年限</w:t>
            </w:r>
          </w:p>
          <w:p w14:paraId="4C456389">
            <w:pPr>
              <w:rPr>
                <w:rFonts w:hint="eastAsia" w:ascii="仿宋" w:hAnsi="仿宋" w:eastAsia="仿宋" w:cs="仿宋"/>
                <w:szCs w:val="21"/>
              </w:rPr>
            </w:pPr>
            <w:r>
              <w:rPr>
                <w:rFonts w:hint="eastAsia" w:ascii="仿宋" w:hAnsi="仿宋" w:eastAsia="仿宋" w:cs="仿宋"/>
                <w:szCs w:val="21"/>
              </w:rPr>
              <w:t>最终验收达到合格后质保1年。</w:t>
            </w:r>
          </w:p>
          <w:p w14:paraId="1D0869EB">
            <w:pPr>
              <w:ind w:firstLine="420" w:firstLineChars="200"/>
              <w:rPr>
                <w:rFonts w:hint="eastAsia" w:ascii="仿宋" w:hAnsi="仿宋" w:eastAsia="仿宋" w:cs="仿宋"/>
                <w:szCs w:val="21"/>
              </w:rPr>
            </w:pPr>
            <w:r>
              <w:rPr>
                <w:rFonts w:hint="eastAsia" w:ascii="仿宋" w:hAnsi="仿宋" w:eastAsia="仿宋" w:cs="仿宋"/>
                <w:szCs w:val="21"/>
              </w:rPr>
              <w:t>2.售后服务团队</w:t>
            </w:r>
          </w:p>
          <w:p w14:paraId="66D42C78">
            <w:pPr>
              <w:rPr>
                <w:rFonts w:hint="eastAsia" w:ascii="仿宋" w:hAnsi="仿宋" w:eastAsia="仿宋" w:cs="仿宋"/>
                <w:szCs w:val="21"/>
              </w:rPr>
            </w:pPr>
            <w:r>
              <w:rPr>
                <w:rFonts w:hint="eastAsia" w:ascii="仿宋" w:hAnsi="仿宋" w:eastAsia="仿宋" w:cs="仿宋"/>
                <w:szCs w:val="21"/>
              </w:rPr>
              <w:t>投标人需建立售后服务机构以及提供专业化的技术服务团队，包括不限于售后服务工程师。在项目质保期内提供快速、及时的故障排除、技术咨询等服务。</w:t>
            </w:r>
          </w:p>
          <w:p w14:paraId="74BAD819">
            <w:pPr>
              <w:ind w:firstLine="420" w:firstLineChars="200"/>
              <w:rPr>
                <w:rFonts w:hint="eastAsia" w:ascii="仿宋" w:hAnsi="仿宋" w:eastAsia="仿宋" w:cs="仿宋"/>
                <w:szCs w:val="21"/>
              </w:rPr>
            </w:pPr>
            <w:r>
              <w:rPr>
                <w:rFonts w:hint="eastAsia" w:ascii="仿宋" w:hAnsi="仿宋" w:eastAsia="仿宋" w:cs="仿宋"/>
                <w:szCs w:val="21"/>
              </w:rPr>
              <w:t>3.售后服务方式</w:t>
            </w:r>
          </w:p>
          <w:p w14:paraId="3F01357D">
            <w:pPr>
              <w:rPr>
                <w:rFonts w:hint="eastAsia" w:ascii="仿宋" w:hAnsi="仿宋" w:eastAsia="仿宋" w:cs="仿宋"/>
                <w:szCs w:val="21"/>
              </w:rPr>
            </w:pPr>
            <w:r>
              <w:rPr>
                <w:rFonts w:hint="eastAsia" w:ascii="仿宋" w:hAnsi="仿宋" w:eastAsia="仿宋" w:cs="仿宋"/>
                <w:szCs w:val="21"/>
              </w:rPr>
              <w:t>提供包括但不限于电话支持服务、现场支持服务、远程支持服务方式满足采购人服务需求。</w:t>
            </w:r>
          </w:p>
          <w:p w14:paraId="2C6DC05F">
            <w:pPr>
              <w:ind w:firstLine="420" w:firstLineChars="200"/>
              <w:rPr>
                <w:rFonts w:hint="eastAsia" w:ascii="仿宋" w:hAnsi="仿宋" w:eastAsia="仿宋" w:cs="仿宋"/>
                <w:szCs w:val="21"/>
              </w:rPr>
            </w:pPr>
            <w:r>
              <w:rPr>
                <w:rFonts w:hint="eastAsia" w:ascii="仿宋" w:hAnsi="仿宋" w:eastAsia="仿宋" w:cs="仿宋"/>
                <w:szCs w:val="21"/>
              </w:rPr>
              <w:t>4.售后服务时间</w:t>
            </w:r>
          </w:p>
          <w:p w14:paraId="0979CCB0">
            <w:pPr>
              <w:rPr>
                <w:rFonts w:hint="eastAsia" w:ascii="仿宋" w:hAnsi="仿宋" w:eastAsia="仿宋" w:cs="仿宋"/>
                <w:szCs w:val="21"/>
              </w:rPr>
            </w:pPr>
            <w:r>
              <w:rPr>
                <w:rFonts w:hint="eastAsia" w:ascii="仿宋" w:hAnsi="仿宋" w:eastAsia="仿宋" w:cs="仿宋"/>
                <w:szCs w:val="21"/>
              </w:rPr>
              <w:t>售后服务时间不低于如下要求：</w:t>
            </w:r>
          </w:p>
          <w:p w14:paraId="20AE3D0D">
            <w:pPr>
              <w:rPr>
                <w:rFonts w:hint="eastAsia" w:ascii="仿宋" w:hAnsi="仿宋" w:eastAsia="仿宋" w:cs="仿宋"/>
                <w:szCs w:val="21"/>
              </w:rPr>
            </w:pPr>
            <w:r>
              <w:rPr>
                <w:rFonts w:hint="eastAsia" w:ascii="仿宋" w:hAnsi="仿宋" w:eastAsia="仿宋" w:cs="仿宋"/>
                <w:szCs w:val="21"/>
              </w:rPr>
              <w:t>电话支持服务：投标人需提供7*24小时电话服务，随时接受客户对系统操作的技术咨询和技术交流，及时解答客户遇到的问题，并定期电话回访客户进行满意度调查。投标人在接到故障报修服务要求时，1小时内做出明确响应和安排。</w:t>
            </w:r>
          </w:p>
          <w:p w14:paraId="5768EFA4">
            <w:pPr>
              <w:rPr>
                <w:rFonts w:hint="eastAsia" w:ascii="仿宋" w:hAnsi="仿宋" w:eastAsia="仿宋" w:cs="仿宋"/>
                <w:szCs w:val="21"/>
              </w:rPr>
            </w:pPr>
            <w:r>
              <w:rPr>
                <w:rFonts w:hint="eastAsia" w:ascii="仿宋" w:hAnsi="仿宋" w:eastAsia="仿宋" w:cs="仿宋"/>
                <w:szCs w:val="21"/>
              </w:rPr>
              <w:t>远程支持服务：提供多样化线上服务渠道，包括但不限于邮件、微信；采用远程技术方法在2小时内给予排除，若远程方法无法排除，应派遣技术人员提供上门支持服务。</w:t>
            </w:r>
          </w:p>
          <w:p w14:paraId="59D1741E">
            <w:pPr>
              <w:rPr>
                <w:rFonts w:hint="eastAsia" w:ascii="仿宋" w:hAnsi="仿宋" w:eastAsia="仿宋" w:cs="仿宋"/>
                <w:szCs w:val="21"/>
                <w:highlight w:val="yellow"/>
              </w:rPr>
            </w:pPr>
            <w:r>
              <w:rPr>
                <w:rFonts w:hint="eastAsia" w:ascii="仿宋" w:hAnsi="仿宋" w:eastAsia="仿宋" w:cs="仿宋"/>
                <w:szCs w:val="21"/>
              </w:rPr>
              <w:t>现场支持服务：24小时内赶到现场进行问题处理。</w:t>
            </w:r>
          </w:p>
        </w:tc>
      </w:tr>
    </w:tbl>
    <w:p w14:paraId="3B1F07FC">
      <w:pPr>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1" w:fontKey="{91AA1898-5766-4C8A-A246-0A9E030F3AAA}"/>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embedRegular r:id="rId2" w:fontKey="{C489CE6C-920C-461F-AD87-75A62194D506}"/>
  </w:font>
  <w:font w:name="仿宋">
    <w:panose1 w:val="02010609060101010101"/>
    <w:charset w:val="86"/>
    <w:family w:val="modern"/>
    <w:pitch w:val="default"/>
    <w:sig w:usb0="800002BF" w:usb1="38CF7CFA" w:usb2="00000016" w:usb3="00000000" w:csb0="00040001" w:csb1="00000000"/>
    <w:embedRegular r:id="rId3" w:fontKey="{7DC6CC87-5765-453A-9D74-B17A70E0487B}"/>
  </w:font>
  <w:font w:name="仿宋_GB2312">
    <w:panose1 w:val="02010609030101010101"/>
    <w:charset w:val="86"/>
    <w:family w:val="modern"/>
    <w:pitch w:val="default"/>
    <w:sig w:usb0="00000001" w:usb1="080E0000" w:usb2="00000000" w:usb3="00000000" w:csb0="00040000" w:csb1="00000000"/>
    <w:embedRegular r:id="rId4" w:fontKey="{D8830C3E-3C90-47D0-9DDE-E5D0C723A25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2D54BA"/>
    <w:rsid w:val="12342E6C"/>
    <w:rsid w:val="18316649"/>
    <w:rsid w:val="1AFC2F3E"/>
    <w:rsid w:val="1B834E44"/>
    <w:rsid w:val="201B3E66"/>
    <w:rsid w:val="3F777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4"/>
    <w:basedOn w:val="1"/>
    <w:next w:val="1"/>
    <w:qFormat/>
    <w:uiPriority w:val="0"/>
    <w:pPr>
      <w:spacing w:beforeAutospacing="1" w:after="0" w:afterAutospacing="1"/>
      <w:jc w:val="left"/>
      <w:outlineLvl w:val="3"/>
    </w:pPr>
    <w:rPr>
      <w:rFonts w:hint="eastAsia" w:ascii="宋体" w:hAnsi="宋体"/>
      <w:b/>
      <w:bCs/>
      <w:kern w:val="0"/>
      <w:sz w:val="24"/>
    </w:rPr>
  </w:style>
  <w:style w:type="character" w:default="1" w:styleId="9">
    <w:name w:val="Default Paragraph Font"/>
    <w:qFormat/>
    <w:uiPriority w:val="1"/>
  </w:style>
  <w:style w:type="table" w:default="1" w:styleId="7">
    <w:name w:val="Normal Table"/>
    <w:qFormat/>
    <w:uiPriority w:val="99"/>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spacing w:line="240" w:lineRule="auto"/>
      <w:jc w:val="left"/>
    </w:pPr>
    <w:rPr>
      <w:sz w:val="18"/>
      <w:szCs w:val="18"/>
    </w:rPr>
  </w:style>
  <w:style w:type="paragraph" w:styleId="5">
    <w:name w:val="header"/>
    <w:basedOn w:val="1"/>
    <w:link w:val="11"/>
    <w:qFormat/>
    <w:uiPriority w:val="0"/>
    <w:pPr>
      <w:tabs>
        <w:tab w:val="center" w:pos="4153"/>
        <w:tab w:val="right" w:pos="8306"/>
      </w:tabs>
      <w:snapToGrid w:val="0"/>
      <w:spacing w:line="240" w:lineRule="auto"/>
      <w:jc w:val="center"/>
    </w:pPr>
    <w:rPr>
      <w:sz w:val="18"/>
      <w:szCs w:val="18"/>
    </w:rPr>
  </w:style>
  <w:style w:type="paragraph" w:styleId="6">
    <w:name w:val="Normal (Web)"/>
    <w:basedOn w:val="1"/>
    <w:qFormat/>
    <w:uiPriority w:val="0"/>
    <w:pPr>
      <w:spacing w:beforeAutospacing="1" w:after="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customStyle="1" w:styleId="11">
    <w:name w:val="页眉 字符"/>
    <w:basedOn w:val="9"/>
    <w:link w:val="5"/>
    <w:qFormat/>
    <w:uiPriority w:val="0"/>
    <w:rPr>
      <w:rFonts w:ascii="Calibri" w:hAnsi="Calibri"/>
      <w:kern w:val="2"/>
      <w:sz w:val="18"/>
      <w:szCs w:val="18"/>
    </w:rPr>
  </w:style>
  <w:style w:type="character" w:customStyle="1" w:styleId="12">
    <w:name w:val="页脚 字符"/>
    <w:basedOn w:val="9"/>
    <w:link w:val="4"/>
    <w:qFormat/>
    <w:uiPriority w:val="0"/>
    <w:rPr>
      <w:rFonts w:ascii="Calibri" w:hAnsi="Calibri"/>
      <w:kern w:val="2"/>
      <w:sz w:val="18"/>
      <w:szCs w:val="18"/>
    </w:rPr>
  </w:style>
  <w:style w:type="character" w:customStyle="1" w:styleId="13">
    <w:name w:val="font61"/>
    <w:basedOn w:val="9"/>
    <w:qFormat/>
    <w:uiPriority w:val="0"/>
    <w:rPr>
      <w:rFonts w:hint="default" w:ascii="微软雅黑" w:hAnsi="微软雅黑" w:eastAsia="微软雅黑" w:cs="微软雅黑"/>
      <w:color w:val="000000"/>
      <w:sz w:val="24"/>
      <w:szCs w:val="24"/>
      <w:u w:val="none"/>
    </w:rPr>
  </w:style>
  <w:style w:type="character" w:customStyle="1" w:styleId="14">
    <w:name w:val="font71"/>
    <w:basedOn w:val="9"/>
    <w:qFormat/>
    <w:uiPriority w:val="0"/>
    <w:rPr>
      <w:rFonts w:ascii="Wingdings 2" w:hAnsi="Wingdings 2" w:eastAsia="Wingdings 2" w:cs="Wingdings 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7399</Words>
  <Characters>7805</Characters>
  <Paragraphs>451</Paragraphs>
  <TotalTime>60</TotalTime>
  <ScaleCrop>false</ScaleCrop>
  <LinksUpToDate>false</LinksUpToDate>
  <CharactersWithSpaces>7819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2026-03-09T01:57:00Z</dcterms:created>
  <dc:creator>Administrator</dc:creator>
  <cp:lastModifiedBy>微信用户</cp:lastModifiedBy>
  <cp:lastPrinted>2025-06-22T22:29:00Z</cp:lastPrinted>
  <dcterms:modified xsi:type="dcterms:W3CDTF">2026-08-05T00:32:05Z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eyJoZGlkIjoiZTRiNjVhYTllYWUwMDIyODUxNzkzMTBjY2I5MDk3ZmUiLCJ1c2VySWQiOiIxMjczMDI1NTE1In0=</vt:lpwstr>
  </property>
  <property fmtid="{D5CDD505-2E9C-101B-9397-08002B2CF9AE}" pid="4" name="ICV">
    <vt:lpwstr>7725606ccd1a4232b7e63694ff6bd433_23</vt:lpwstr>
  </property>
</Properties>
</file>