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E172A">
      <w:pPr>
        <w:jc w:val="center"/>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南宁市第二人民医院单</w:t>
      </w:r>
      <w:r>
        <w:rPr>
          <w:rFonts w:hint="eastAsia" w:ascii="方正小标宋简体" w:hAnsi="方正小标宋简体" w:eastAsia="方正小标宋简体" w:cs="方正小标宋简体"/>
          <w:sz w:val="36"/>
          <w:szCs w:val="36"/>
        </w:rPr>
        <w:t>项服务费用50万元以下零星工程控制价审核、结算审核服务</w:t>
      </w:r>
      <w:r>
        <w:rPr>
          <w:rFonts w:hint="eastAsia" w:ascii="方正小标宋简体" w:hAnsi="方正小标宋简体" w:eastAsia="方正小标宋简体" w:cs="方正小标宋简体"/>
          <w:sz w:val="36"/>
          <w:szCs w:val="36"/>
          <w:lang w:eastAsia="zh-CN"/>
        </w:rPr>
        <w:t>的需求内容</w:t>
      </w:r>
    </w:p>
    <w:p w14:paraId="675C450A">
      <w:pPr>
        <w:numPr>
          <w:ilvl w:val="0"/>
          <w:numId w:val="0"/>
        </w:numPr>
        <w:autoSpaceDE w:val="0"/>
        <w:autoSpaceDN w:val="0"/>
        <w:adjustRightInd w:val="0"/>
        <w:spacing w:line="600" w:lineRule="exact"/>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概况：</w:t>
      </w:r>
    </w:p>
    <w:p w14:paraId="6E27AC89">
      <w:pPr>
        <w:pStyle w:val="9"/>
        <w:numPr>
          <w:ilvl w:val="0"/>
          <w:numId w:val="0"/>
        </w:numPr>
        <w:ind w:firstLine="56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32"/>
          <w:szCs w:val="32"/>
          <w:lang w:val="en-US" w:eastAsia="zh-CN"/>
        </w:rPr>
        <w:t>项目名称：单项服务费用50万元以下零星工程控制价审核、结算审核服务采购</w:t>
      </w:r>
      <w:bookmarkStart w:id="0" w:name="_GoBack"/>
      <w:bookmarkEnd w:id="0"/>
    </w:p>
    <w:p w14:paraId="467AFFBB">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2.采购内容：包括且不限于以下内容</w:t>
      </w:r>
    </w:p>
    <w:p w14:paraId="0F220A18">
      <w:pPr>
        <w:keepNext w:val="0"/>
        <w:keepLines w:val="0"/>
        <w:pageBreakBefore w:val="0"/>
        <w:wordWrap/>
        <w:topLinePunct w:val="0"/>
        <w:bidi w:val="0"/>
        <w:spacing w:line="500" w:lineRule="exact"/>
        <w:ind w:firstLine="560" w:firstLineChars="200"/>
        <w:textAlignment w:val="auto"/>
        <w:rPr>
          <w:rFonts w:hint="eastAsia" w:ascii="仿宋_GB2312" w:hAnsi="仿宋_GB2312" w:eastAsia="仿宋_GB2312" w:cs="仿宋_GB2312"/>
          <w:kern w:val="2"/>
          <w:sz w:val="28"/>
          <w:szCs w:val="28"/>
          <w:lang w:eastAsia="zh-CN"/>
        </w:rPr>
      </w:pPr>
      <w:r>
        <w:rPr>
          <w:rFonts w:hint="eastAsia" w:ascii="仿宋_GB2312" w:hAnsi="仿宋_GB2312" w:eastAsia="仿宋_GB2312" w:cs="仿宋_GB2312"/>
          <w:b w:val="0"/>
          <w:bCs/>
          <w:kern w:val="2"/>
          <w:sz w:val="28"/>
          <w:szCs w:val="28"/>
          <w:lang w:val="en-US" w:eastAsia="zh-CN"/>
        </w:rPr>
        <w:t>（1）</w:t>
      </w:r>
      <w:r>
        <w:rPr>
          <w:rFonts w:hint="eastAsia" w:ascii="仿宋_GB2312" w:hAnsi="仿宋_GB2312" w:eastAsia="仿宋_GB2312" w:cs="仿宋_GB2312"/>
          <w:b w:val="0"/>
          <w:bCs/>
          <w:kern w:val="2"/>
          <w:sz w:val="28"/>
          <w:szCs w:val="28"/>
        </w:rPr>
        <w:t>工程量清单和控制价审核：</w:t>
      </w:r>
      <w:r>
        <w:rPr>
          <w:rFonts w:hint="eastAsia" w:ascii="仿宋_GB2312" w:hAnsi="仿宋_GB2312" w:eastAsia="仿宋_GB2312" w:cs="仿宋_GB2312"/>
          <w:sz w:val="28"/>
          <w:szCs w:val="28"/>
          <w:lang w:val="en-US" w:eastAsia="zh-CN"/>
        </w:rPr>
        <w:t>供应商</w:t>
      </w:r>
      <w:r>
        <w:rPr>
          <w:rFonts w:hint="eastAsia" w:ascii="仿宋_GB2312" w:hAnsi="仿宋_GB2312" w:eastAsia="仿宋_GB2312" w:cs="仿宋_GB2312"/>
          <w:b w:val="0"/>
          <w:bCs/>
          <w:kern w:val="2"/>
          <w:sz w:val="28"/>
          <w:szCs w:val="28"/>
          <w:lang w:val="en-US" w:eastAsia="zh-CN"/>
        </w:rPr>
        <w:t>审核</w:t>
      </w:r>
      <w:r>
        <w:rPr>
          <w:rFonts w:hint="eastAsia" w:ascii="仿宋_GB2312" w:hAnsi="仿宋_GB2312" w:eastAsia="仿宋_GB2312" w:cs="仿宋_GB2312"/>
          <w:kern w:val="2"/>
          <w:sz w:val="28"/>
          <w:szCs w:val="28"/>
        </w:rPr>
        <w:t>第三方</w:t>
      </w:r>
      <w:r>
        <w:rPr>
          <w:rFonts w:hint="eastAsia" w:ascii="仿宋_GB2312" w:hAnsi="仿宋_GB2312" w:eastAsia="仿宋_GB2312" w:cs="仿宋_GB2312"/>
          <w:kern w:val="2"/>
          <w:sz w:val="28"/>
          <w:szCs w:val="28"/>
          <w:lang w:val="en-US" w:eastAsia="zh-CN"/>
        </w:rPr>
        <w:t>公司出具的工程量清单和</w:t>
      </w:r>
      <w:r>
        <w:rPr>
          <w:rFonts w:hint="eastAsia" w:ascii="仿宋_GB2312" w:hAnsi="仿宋_GB2312" w:eastAsia="仿宋_GB2312" w:cs="仿宋_GB2312"/>
          <w:kern w:val="2"/>
          <w:sz w:val="28"/>
          <w:szCs w:val="28"/>
        </w:rPr>
        <w:t>控制价</w:t>
      </w:r>
      <w:r>
        <w:rPr>
          <w:rFonts w:hint="eastAsia" w:ascii="仿宋_GB2312" w:hAnsi="仿宋_GB2312" w:eastAsia="仿宋_GB2312" w:cs="仿宋_GB2312"/>
          <w:kern w:val="2"/>
          <w:sz w:val="28"/>
          <w:szCs w:val="28"/>
          <w:lang w:eastAsia="zh-CN"/>
        </w:rPr>
        <w:t>，</w:t>
      </w:r>
      <w:r>
        <w:rPr>
          <w:rFonts w:hint="eastAsia" w:ascii="仿宋_GB2312" w:hAnsi="仿宋_GB2312" w:eastAsia="仿宋_GB2312" w:cs="仿宋_GB2312"/>
          <w:kern w:val="2"/>
          <w:sz w:val="28"/>
          <w:szCs w:val="28"/>
          <w:lang w:val="en-US" w:eastAsia="zh-CN"/>
        </w:rPr>
        <w:t>且在</w:t>
      </w:r>
      <w:r>
        <w:rPr>
          <w:rFonts w:hint="eastAsia" w:ascii="仿宋_GB2312" w:hAnsi="仿宋_GB2312" w:eastAsia="仿宋_GB2312" w:cs="仿宋_GB2312"/>
          <w:sz w:val="28"/>
          <w:szCs w:val="28"/>
          <w:lang w:val="en-US" w:eastAsia="zh-CN"/>
        </w:rPr>
        <w:t>5个工作日</w:t>
      </w:r>
      <w:r>
        <w:rPr>
          <w:rFonts w:hint="eastAsia" w:ascii="仿宋_GB2312" w:hAnsi="仿宋_GB2312" w:eastAsia="仿宋_GB2312" w:cs="仿宋_GB2312"/>
          <w:sz w:val="28"/>
          <w:szCs w:val="28"/>
        </w:rPr>
        <w:t>内</w:t>
      </w:r>
      <w:r>
        <w:rPr>
          <w:rFonts w:hint="eastAsia" w:ascii="仿宋_GB2312" w:hAnsi="仿宋_GB2312" w:eastAsia="仿宋_GB2312" w:cs="仿宋_GB2312"/>
          <w:sz w:val="28"/>
          <w:szCs w:val="28"/>
          <w:lang w:val="en-US" w:eastAsia="zh-CN"/>
        </w:rPr>
        <w:t>出具</w:t>
      </w:r>
      <w:r>
        <w:rPr>
          <w:rFonts w:hint="eastAsia" w:ascii="仿宋_GB2312" w:hAnsi="仿宋_GB2312" w:eastAsia="仿宋_GB2312" w:cs="仿宋_GB2312"/>
          <w:sz w:val="28"/>
          <w:szCs w:val="28"/>
        </w:rPr>
        <w:t>成果文件</w:t>
      </w:r>
      <w:r>
        <w:rPr>
          <w:rFonts w:hint="eastAsia" w:ascii="仿宋_GB2312" w:hAnsi="仿宋_GB2312" w:eastAsia="仿宋_GB2312" w:cs="仿宋_GB2312"/>
          <w:sz w:val="28"/>
          <w:szCs w:val="28"/>
          <w:lang w:eastAsia="zh-CN"/>
        </w:rPr>
        <w:t>。</w:t>
      </w:r>
    </w:p>
    <w:p w14:paraId="4E078FAE">
      <w:pPr>
        <w:keepNext w:val="0"/>
        <w:keepLines w:val="0"/>
        <w:pageBreakBefore w:val="0"/>
        <w:numPr>
          <w:ilvl w:val="0"/>
          <w:numId w:val="0"/>
        </w:numPr>
        <w:wordWrap/>
        <w:topLinePunct w:val="0"/>
        <w:bidi w:val="0"/>
        <w:spacing w:line="500" w:lineRule="exact"/>
        <w:ind w:firstLine="560" w:firstLineChars="200"/>
        <w:textAlignment w:val="auto"/>
        <w:rPr>
          <w:rFonts w:hint="eastAsia" w:ascii="仿宋_GB2312" w:hAnsi="仿宋_GB2312" w:eastAsia="仿宋_GB2312" w:cs="仿宋_GB2312"/>
          <w:kern w:val="2"/>
          <w:sz w:val="28"/>
          <w:szCs w:val="28"/>
        </w:rPr>
      </w:pPr>
      <w:r>
        <w:rPr>
          <w:rFonts w:hint="eastAsia" w:ascii="仿宋_GB2312" w:hAnsi="仿宋_GB2312" w:eastAsia="仿宋_GB2312" w:cs="仿宋_GB2312"/>
          <w:b w:val="0"/>
          <w:bCs/>
          <w:kern w:val="2"/>
          <w:sz w:val="28"/>
          <w:szCs w:val="28"/>
          <w:lang w:val="en-US" w:eastAsia="zh-CN"/>
        </w:rPr>
        <w:t>（2）</w:t>
      </w:r>
      <w:r>
        <w:rPr>
          <w:rFonts w:hint="eastAsia" w:ascii="仿宋_GB2312" w:hAnsi="仿宋_GB2312" w:eastAsia="仿宋_GB2312" w:cs="仿宋_GB2312"/>
          <w:b w:val="0"/>
          <w:bCs/>
          <w:kern w:val="2"/>
          <w:sz w:val="28"/>
          <w:szCs w:val="28"/>
        </w:rPr>
        <w:t>结算审核：</w:t>
      </w:r>
      <w:r>
        <w:rPr>
          <w:rFonts w:hint="eastAsia" w:ascii="仿宋_GB2312" w:hAnsi="仿宋_GB2312" w:eastAsia="仿宋_GB2312" w:cs="仿宋_GB2312"/>
          <w:kern w:val="2"/>
          <w:sz w:val="28"/>
          <w:szCs w:val="28"/>
        </w:rPr>
        <w:t>竣工结算审核</w:t>
      </w:r>
      <w:r>
        <w:rPr>
          <w:rFonts w:hint="eastAsia" w:ascii="仿宋_GB2312" w:hAnsi="仿宋_GB2312" w:eastAsia="仿宋_GB2312" w:cs="仿宋_GB2312"/>
          <w:kern w:val="2"/>
          <w:sz w:val="28"/>
          <w:szCs w:val="28"/>
          <w:lang w:eastAsia="zh-CN"/>
        </w:rPr>
        <w:t>，</w:t>
      </w:r>
      <w:r>
        <w:rPr>
          <w:rFonts w:hint="eastAsia" w:ascii="仿宋_GB2312" w:hAnsi="仿宋_GB2312" w:eastAsia="仿宋_GB2312" w:cs="仿宋_GB2312"/>
          <w:sz w:val="28"/>
          <w:szCs w:val="28"/>
          <w:highlight w:val="none"/>
          <w:lang w:val="en-US" w:eastAsia="zh-CN"/>
        </w:rPr>
        <w:t>供应商</w:t>
      </w:r>
      <w:r>
        <w:rPr>
          <w:rFonts w:hint="eastAsia" w:ascii="仿宋_GB2312" w:hAnsi="仿宋_GB2312" w:eastAsia="仿宋_GB2312" w:cs="仿宋_GB2312"/>
          <w:sz w:val="28"/>
          <w:szCs w:val="28"/>
        </w:rPr>
        <w:t>须在接收</w:t>
      </w:r>
      <w:r>
        <w:rPr>
          <w:rFonts w:hint="eastAsia" w:ascii="仿宋_GB2312" w:hAnsi="仿宋_GB2312" w:eastAsia="仿宋_GB2312" w:cs="仿宋_GB2312"/>
          <w:sz w:val="28"/>
          <w:szCs w:val="28"/>
          <w:lang w:val="en-US" w:eastAsia="zh-CN"/>
        </w:rPr>
        <w:t>齐全的竣工结算材料</w:t>
      </w:r>
      <w:r>
        <w:rPr>
          <w:rFonts w:hint="eastAsia" w:ascii="仿宋_GB2312" w:hAnsi="仿宋_GB2312" w:eastAsia="仿宋_GB2312" w:cs="仿宋_GB2312"/>
          <w:sz w:val="28"/>
          <w:szCs w:val="28"/>
        </w:rPr>
        <w:t>之日起10个工作日内完成竣工结算审核工作并出具初步审核报告，采购人对初稿</w:t>
      </w:r>
      <w:r>
        <w:rPr>
          <w:rFonts w:hint="eastAsia" w:ascii="仿宋_GB2312" w:hAnsi="仿宋_GB2312" w:eastAsia="仿宋_GB2312" w:cs="仿宋_GB2312"/>
          <w:sz w:val="28"/>
          <w:szCs w:val="28"/>
          <w:lang w:val="en-US" w:eastAsia="zh-CN"/>
        </w:rPr>
        <w:t>审核</w:t>
      </w:r>
      <w:r>
        <w:rPr>
          <w:rFonts w:hint="eastAsia" w:ascii="仿宋_GB2312" w:hAnsi="仿宋_GB2312" w:eastAsia="仿宋_GB2312" w:cs="仿宋_GB2312"/>
          <w:sz w:val="28"/>
          <w:szCs w:val="28"/>
        </w:rPr>
        <w:t>无异议后，</w:t>
      </w:r>
      <w:r>
        <w:rPr>
          <w:rFonts w:hint="eastAsia" w:ascii="仿宋_GB2312" w:hAnsi="仿宋_GB2312" w:eastAsia="仿宋_GB2312" w:cs="仿宋_GB2312"/>
          <w:sz w:val="28"/>
          <w:szCs w:val="28"/>
          <w:lang w:val="en-US" w:eastAsia="zh-CN"/>
        </w:rPr>
        <w:t>供应商</w:t>
      </w:r>
      <w:r>
        <w:rPr>
          <w:rFonts w:hint="eastAsia" w:ascii="仿宋_GB2312" w:hAnsi="仿宋_GB2312" w:eastAsia="仿宋_GB2312" w:cs="仿宋_GB2312"/>
          <w:sz w:val="28"/>
          <w:szCs w:val="28"/>
        </w:rPr>
        <w:t>须在5个工作日内将正式审核报告送至采购人</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供应商应妥善保管</w:t>
      </w:r>
      <w:r>
        <w:rPr>
          <w:rFonts w:hint="eastAsia" w:ascii="仿宋_GB2312" w:hAnsi="仿宋_GB2312" w:eastAsia="仿宋_GB2312" w:cs="仿宋_GB2312"/>
          <w:sz w:val="28"/>
          <w:szCs w:val="28"/>
          <w:lang w:eastAsia="zh-CN"/>
        </w:rPr>
        <w:t>采购人</w:t>
      </w:r>
      <w:r>
        <w:rPr>
          <w:rFonts w:hint="eastAsia" w:ascii="仿宋_GB2312" w:hAnsi="仿宋_GB2312" w:eastAsia="仿宋_GB2312" w:cs="仿宋_GB2312"/>
          <w:sz w:val="28"/>
          <w:szCs w:val="28"/>
        </w:rPr>
        <w:t>书面移交的全套审核结算资料，不得有遗失、损坏，且应在工程审核结算完成后按</w:t>
      </w:r>
      <w:r>
        <w:rPr>
          <w:rFonts w:hint="eastAsia" w:ascii="仿宋_GB2312" w:hAnsi="仿宋_GB2312" w:eastAsia="仿宋_GB2312" w:cs="仿宋_GB2312"/>
          <w:sz w:val="28"/>
          <w:szCs w:val="28"/>
          <w:lang w:eastAsia="zh-CN"/>
        </w:rPr>
        <w:t>采购人</w:t>
      </w:r>
      <w:r>
        <w:rPr>
          <w:rFonts w:hint="eastAsia" w:ascii="仿宋_GB2312" w:hAnsi="仿宋_GB2312" w:eastAsia="仿宋_GB2312" w:cs="仿宋_GB2312"/>
          <w:sz w:val="28"/>
          <w:szCs w:val="28"/>
        </w:rPr>
        <w:t>的要求将全套资料返还</w:t>
      </w:r>
      <w:r>
        <w:rPr>
          <w:rFonts w:hint="eastAsia" w:ascii="仿宋_GB2312" w:hAnsi="仿宋_GB2312" w:eastAsia="仿宋_GB2312" w:cs="仿宋_GB2312"/>
          <w:sz w:val="28"/>
          <w:szCs w:val="28"/>
          <w:lang w:eastAsia="zh-CN"/>
        </w:rPr>
        <w:t>采购人</w:t>
      </w:r>
      <w:r>
        <w:rPr>
          <w:rFonts w:hint="eastAsia" w:ascii="仿宋_GB2312" w:hAnsi="仿宋_GB2312" w:eastAsia="仿宋_GB2312" w:cs="仿宋_GB2312"/>
          <w:sz w:val="28"/>
          <w:szCs w:val="28"/>
        </w:rPr>
        <w:t>，并配合</w:t>
      </w:r>
      <w:r>
        <w:rPr>
          <w:rFonts w:hint="eastAsia" w:ascii="仿宋_GB2312" w:hAnsi="仿宋_GB2312" w:eastAsia="仿宋_GB2312" w:cs="仿宋_GB2312"/>
          <w:sz w:val="28"/>
          <w:szCs w:val="28"/>
          <w:lang w:eastAsia="zh-CN"/>
        </w:rPr>
        <w:t>采购人</w:t>
      </w:r>
      <w:r>
        <w:rPr>
          <w:rFonts w:hint="eastAsia" w:ascii="仿宋_GB2312" w:hAnsi="仿宋_GB2312" w:eastAsia="仿宋_GB2312" w:cs="仿宋_GB2312"/>
          <w:sz w:val="28"/>
          <w:szCs w:val="28"/>
        </w:rPr>
        <w:t>完成竣工结算的复审工作及结算审核结束后的归档工作。供应商应对审查结果负责。</w:t>
      </w:r>
    </w:p>
    <w:p w14:paraId="33E0D9A1">
      <w:pPr>
        <w:keepNext w:val="0"/>
        <w:keepLines w:val="0"/>
        <w:pageBreakBefore w:val="0"/>
        <w:numPr>
          <w:ilvl w:val="0"/>
          <w:numId w:val="0"/>
        </w:numPr>
        <w:wordWrap/>
        <w:topLinePunct w:val="0"/>
        <w:bidi w:val="0"/>
        <w:spacing w:line="500" w:lineRule="exact"/>
        <w:ind w:firstLine="560" w:firstLineChars="200"/>
        <w:textAlignment w:val="auto"/>
        <w:rPr>
          <w:rFonts w:hint="eastAsia" w:ascii="仿宋_GB2312" w:hAnsi="仿宋_GB2312" w:eastAsia="仿宋_GB2312" w:cs="仿宋_GB2312"/>
          <w:b w:val="0"/>
          <w:bCs/>
          <w:kern w:val="2"/>
          <w:sz w:val="28"/>
          <w:szCs w:val="28"/>
          <w:lang w:val="en-US" w:eastAsia="zh-CN"/>
        </w:rPr>
      </w:pPr>
      <w:r>
        <w:rPr>
          <w:rFonts w:hint="eastAsia" w:ascii="仿宋_GB2312" w:hAnsi="仿宋_GB2312" w:eastAsia="仿宋_GB2312" w:cs="仿宋_GB2312"/>
          <w:b w:val="0"/>
          <w:bCs/>
          <w:kern w:val="2"/>
          <w:sz w:val="28"/>
          <w:szCs w:val="28"/>
          <w:lang w:val="en-US" w:eastAsia="zh-CN"/>
        </w:rPr>
        <w:t>（3）采购人交办的其他与控制价审核、结算审核业务等有关的咨询事宜。</w:t>
      </w:r>
    </w:p>
    <w:p w14:paraId="4CB693E7">
      <w:pPr>
        <w:pStyle w:val="9"/>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3.服务地点：甲方指定地点（南宁）</w:t>
      </w:r>
    </w:p>
    <w:p w14:paraId="38E67A97">
      <w:pPr>
        <w:keepNext w:val="0"/>
        <w:keepLines w:val="0"/>
        <w:pageBreakBefore w:val="0"/>
        <w:numPr>
          <w:ilvl w:val="0"/>
          <w:numId w:val="0"/>
        </w:numPr>
        <w:wordWrap/>
        <w:topLinePunct w:val="0"/>
        <w:bidi w:val="0"/>
        <w:spacing w:line="500" w:lineRule="exact"/>
        <w:ind w:firstLine="560" w:firstLineChars="200"/>
        <w:textAlignment w:val="auto"/>
        <w:rPr>
          <w:rFonts w:hint="eastAsia" w:ascii="仿宋_GB2312" w:hAnsi="仿宋_GB2312" w:eastAsia="仿宋_GB2312" w:cs="仿宋_GB2312"/>
          <w:b w:val="0"/>
          <w:bCs/>
          <w:kern w:val="2"/>
          <w:sz w:val="28"/>
          <w:szCs w:val="28"/>
          <w:lang w:val="en-US" w:eastAsia="zh-CN"/>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b w:val="0"/>
          <w:bCs/>
          <w:kern w:val="2"/>
          <w:sz w:val="28"/>
          <w:szCs w:val="28"/>
          <w:lang w:val="en-US" w:eastAsia="zh-CN"/>
        </w:rPr>
        <w:t>服务期限：1年，</w:t>
      </w:r>
      <w:r>
        <w:rPr>
          <w:rFonts w:hint="eastAsia" w:ascii="仿宋_GB2312" w:hAnsi="仿宋_GB2312" w:eastAsia="仿宋_GB2312" w:cs="仿宋_GB2312"/>
          <w:sz w:val="32"/>
          <w:szCs w:val="32"/>
          <w:lang w:val="en-US" w:eastAsia="zh-CN"/>
        </w:rPr>
        <w:t>以实际签订时间为准。</w:t>
      </w:r>
    </w:p>
    <w:p w14:paraId="334629E4">
      <w:pPr>
        <w:keepNext w:val="0"/>
        <w:keepLines w:val="0"/>
        <w:pageBreakBefore w:val="0"/>
        <w:numPr>
          <w:ilvl w:val="0"/>
          <w:numId w:val="0"/>
        </w:numPr>
        <w:wordWrap/>
        <w:topLinePunct w:val="0"/>
        <w:bidi w:val="0"/>
        <w:spacing w:line="500" w:lineRule="exact"/>
        <w:ind w:firstLine="560" w:firstLineChars="200"/>
        <w:textAlignment w:val="auto"/>
        <w:rPr>
          <w:rFonts w:hint="eastAsia" w:ascii="仿宋_GB2312" w:hAnsi="仿宋_GB2312" w:eastAsia="仿宋_GB2312" w:cs="仿宋_GB2312"/>
          <w:b w:val="0"/>
          <w:bCs/>
          <w:kern w:val="2"/>
          <w:sz w:val="28"/>
          <w:szCs w:val="28"/>
          <w:lang w:val="en-US" w:eastAsia="zh-CN"/>
        </w:rPr>
      </w:pPr>
      <w:r>
        <w:rPr>
          <w:rFonts w:hint="eastAsia" w:ascii="仿宋_GB2312" w:hAnsi="仿宋_GB2312" w:eastAsia="仿宋_GB2312" w:cs="仿宋_GB2312"/>
          <w:sz w:val="28"/>
          <w:szCs w:val="28"/>
          <w:lang w:val="en-US" w:eastAsia="zh-CN"/>
        </w:rPr>
        <w:t>5.供应商</w:t>
      </w:r>
      <w:r>
        <w:rPr>
          <w:rFonts w:hint="eastAsia" w:ascii="仿宋_GB2312" w:hAnsi="仿宋_GB2312" w:eastAsia="仿宋_GB2312" w:cs="仿宋_GB2312"/>
          <w:b w:val="0"/>
          <w:bCs/>
          <w:kern w:val="2"/>
          <w:sz w:val="28"/>
          <w:szCs w:val="28"/>
          <w:lang w:val="en-US" w:eastAsia="zh-CN"/>
        </w:rPr>
        <w:t>资质：工程造价咨询甲级资质。</w:t>
      </w:r>
    </w:p>
    <w:p w14:paraId="762248CC">
      <w:pPr>
        <w:pStyle w:val="6"/>
        <w:keepNext w:val="0"/>
        <w:keepLines w:val="0"/>
        <w:pageBreakBefore w:val="0"/>
        <w:wordWrap/>
        <w:topLinePunct w:val="0"/>
        <w:bidi w:val="0"/>
        <w:spacing w:line="500" w:lineRule="exact"/>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b w:val="0"/>
          <w:bCs/>
          <w:color w:val="000000"/>
          <w:sz w:val="28"/>
          <w:szCs w:val="28"/>
          <w:lang w:val="en-US" w:eastAsia="zh-CN"/>
        </w:rPr>
        <w:t>二、</w:t>
      </w:r>
      <w:r>
        <w:rPr>
          <w:rFonts w:hint="eastAsia" w:ascii="仿宋_GB2312" w:hAnsi="仿宋_GB2312" w:eastAsia="仿宋_GB2312" w:cs="仿宋_GB2312"/>
          <w:b w:val="0"/>
          <w:bCs/>
          <w:color w:val="000000"/>
          <w:sz w:val="28"/>
          <w:szCs w:val="28"/>
        </w:rPr>
        <w:t>采购报价</w:t>
      </w:r>
    </w:p>
    <w:p w14:paraId="386F379B">
      <w:pPr>
        <w:pStyle w:val="3"/>
        <w:keepNext w:val="0"/>
        <w:keepLines w:val="0"/>
        <w:pageBreakBefore w:val="0"/>
        <w:wordWrap/>
        <w:topLinePunct w:val="0"/>
        <w:bidi w:val="0"/>
        <w:spacing w:line="500" w:lineRule="exact"/>
        <w:ind w:firstLine="560" w:firstLineChars="200"/>
        <w:textAlignment w:val="auto"/>
        <w:rPr>
          <w:rFonts w:hint="eastAsia" w:ascii="仿宋_GB2312" w:hAnsi="仿宋_GB2312" w:eastAsia="仿宋_GB2312" w:cs="仿宋_GB2312"/>
          <w:b w:val="0"/>
          <w:bCs/>
          <w:kern w:val="2"/>
          <w:sz w:val="28"/>
          <w:szCs w:val="28"/>
          <w:lang w:val="en-US" w:eastAsia="zh-CN" w:bidi="ar-SA"/>
        </w:rPr>
      </w:pPr>
      <w:r>
        <w:rPr>
          <w:rFonts w:hint="eastAsia" w:ascii="仿宋_GB2312" w:hAnsi="仿宋_GB2312" w:eastAsia="仿宋_GB2312" w:cs="仿宋_GB2312"/>
          <w:b w:val="0"/>
          <w:bCs/>
          <w:kern w:val="2"/>
          <w:sz w:val="28"/>
          <w:szCs w:val="28"/>
          <w:lang w:val="en-US" w:eastAsia="zh-CN" w:bidi="ar-SA"/>
        </w:rPr>
        <w:t>供应商的响应报价已包括审核工作所需的劳务费、技术服务费、通讯、办公场地、管理费、税费和利润等费用和政策性文件规定及合同包含的所有风险、责任等各项应有的一切费用，除非上述费用在合同中另有说明，合同期内，费率不再调整。</w:t>
      </w:r>
    </w:p>
    <w:p w14:paraId="1C4FB43F">
      <w:pPr>
        <w:pStyle w:val="3"/>
        <w:keepNext w:val="0"/>
        <w:keepLines w:val="0"/>
        <w:pageBreakBefore w:val="0"/>
        <w:wordWrap/>
        <w:topLinePunct w:val="0"/>
        <w:bidi w:val="0"/>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参考《广西建设工程造价咨询服务行业收费参考标准》桂价协字〔2019〕15号</w:t>
      </w:r>
    </w:p>
    <w:p w14:paraId="52A0F93F">
      <w:pPr>
        <w:keepNext w:val="0"/>
        <w:keepLines w:val="0"/>
        <w:pageBreakBefore w:val="0"/>
        <w:numPr>
          <w:ilvl w:val="0"/>
          <w:numId w:val="1"/>
        </w:numPr>
        <w:wordWrap/>
        <w:topLinePunct w:val="0"/>
        <w:bidi w:val="0"/>
        <w:spacing w:line="500" w:lineRule="exact"/>
        <w:ind w:left="420" w:leftChars="200" w:firstLine="0" w:firstLineChars="0"/>
        <w:textAlignment w:val="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工程量清单及招标控制价的审核费用应在编制费用的基础上乘以0.8的系数。</w:t>
      </w:r>
    </w:p>
    <w:p w14:paraId="38C28B5C">
      <w:pPr>
        <w:keepNext w:val="0"/>
        <w:keepLines w:val="0"/>
        <w:pageBreakBefore w:val="0"/>
        <w:numPr>
          <w:ilvl w:val="0"/>
          <w:numId w:val="0"/>
        </w:numPr>
        <w:wordWrap/>
        <w:topLinePunct w:val="0"/>
        <w:bidi w:val="0"/>
        <w:spacing w:line="500" w:lineRule="exact"/>
        <w:ind w:leftChars="200"/>
        <w:textAlignment w:val="auto"/>
        <w:rPr>
          <w:rFonts w:hint="eastAsia" w:ascii="仿宋_GB2312" w:hAnsi="仿宋_GB2312" w:eastAsia="仿宋_GB2312" w:cs="仿宋_GB2312"/>
          <w:color w:val="auto"/>
          <w:kern w:val="2"/>
          <w:sz w:val="28"/>
          <w:szCs w:val="28"/>
          <w:lang w:val="en-US"/>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kern w:val="0"/>
          <w:sz w:val="28"/>
          <w:szCs w:val="28"/>
          <w:lang w:val="en-US" w:eastAsia="zh-CN" w:bidi="ar"/>
        </w:rPr>
        <w:t>单项工程竣工结算评审服务费费</w:t>
      </w:r>
    </w:p>
    <w:tbl>
      <w:tblPr>
        <w:tblStyle w:val="10"/>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1318"/>
        <w:gridCol w:w="1727"/>
        <w:gridCol w:w="3092"/>
        <w:gridCol w:w="1276"/>
      </w:tblGrid>
      <w:tr w14:paraId="61C8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tcBorders>
              <w:top w:val="single" w:color="auto" w:sz="4" w:space="0"/>
              <w:left w:val="single" w:color="auto" w:sz="4" w:space="0"/>
              <w:bottom w:val="single" w:color="auto" w:sz="4" w:space="0"/>
              <w:right w:val="single" w:color="auto" w:sz="4" w:space="0"/>
            </w:tcBorders>
          </w:tcPr>
          <w:p w14:paraId="1A692449">
            <w:pPr>
              <w:keepNext w:val="0"/>
              <w:keepLines w:val="0"/>
              <w:pageBreakBefore w:val="0"/>
              <w:wordWrap/>
              <w:topLinePunct w:val="0"/>
              <w:bidi w:val="0"/>
              <w:spacing w:line="500" w:lineRule="exact"/>
              <w:jc w:val="center"/>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rPr>
              <w:t>序号</w:t>
            </w:r>
          </w:p>
        </w:tc>
        <w:tc>
          <w:tcPr>
            <w:tcW w:w="3045" w:type="dxa"/>
            <w:gridSpan w:val="2"/>
            <w:tcBorders>
              <w:top w:val="single" w:color="auto" w:sz="4" w:space="0"/>
              <w:left w:val="single" w:color="auto" w:sz="4" w:space="0"/>
              <w:bottom w:val="single" w:color="auto" w:sz="4" w:space="0"/>
              <w:right w:val="single" w:color="auto" w:sz="4" w:space="0"/>
            </w:tcBorders>
          </w:tcPr>
          <w:p w14:paraId="4EA1D285">
            <w:pPr>
              <w:keepNext w:val="0"/>
              <w:keepLines w:val="0"/>
              <w:pageBreakBefore w:val="0"/>
              <w:wordWrap/>
              <w:topLinePunct w:val="0"/>
              <w:bidi w:val="0"/>
              <w:spacing w:line="500" w:lineRule="exact"/>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rPr>
              <w:t>服务内容</w:t>
            </w:r>
          </w:p>
        </w:tc>
        <w:tc>
          <w:tcPr>
            <w:tcW w:w="3092" w:type="dxa"/>
            <w:tcBorders>
              <w:top w:val="single" w:color="auto" w:sz="4" w:space="0"/>
              <w:left w:val="single" w:color="auto" w:sz="4" w:space="0"/>
              <w:bottom w:val="single" w:color="auto" w:sz="4" w:space="0"/>
              <w:right w:val="single" w:color="auto" w:sz="4" w:space="0"/>
            </w:tcBorders>
          </w:tcPr>
          <w:p w14:paraId="31161587">
            <w:pPr>
              <w:keepNext w:val="0"/>
              <w:keepLines w:val="0"/>
              <w:pageBreakBefore w:val="0"/>
              <w:wordWrap/>
              <w:topLinePunct w:val="0"/>
              <w:bidi w:val="0"/>
              <w:spacing w:line="500" w:lineRule="exact"/>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rPr>
              <w:t>费用基数</w:t>
            </w:r>
          </w:p>
        </w:tc>
        <w:tc>
          <w:tcPr>
            <w:tcW w:w="1276" w:type="dxa"/>
            <w:tcBorders>
              <w:top w:val="single" w:color="auto" w:sz="4" w:space="0"/>
              <w:left w:val="single" w:color="auto" w:sz="4" w:space="0"/>
              <w:bottom w:val="single" w:color="auto" w:sz="4" w:space="0"/>
              <w:right w:val="single" w:color="auto" w:sz="4" w:space="0"/>
            </w:tcBorders>
          </w:tcPr>
          <w:p w14:paraId="3744B462">
            <w:pPr>
              <w:keepNext w:val="0"/>
              <w:keepLines w:val="0"/>
              <w:pageBreakBefore w:val="0"/>
              <w:wordWrap/>
              <w:topLinePunct w:val="0"/>
              <w:bidi w:val="0"/>
              <w:spacing w:line="500" w:lineRule="exact"/>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rPr>
              <w:t>费率</w:t>
            </w:r>
          </w:p>
        </w:tc>
      </w:tr>
      <w:tr w14:paraId="433F4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vMerge w:val="restart"/>
            <w:tcBorders>
              <w:top w:val="single" w:color="auto" w:sz="4" w:space="0"/>
              <w:left w:val="single" w:color="auto" w:sz="4" w:space="0"/>
              <w:bottom w:val="single" w:color="auto" w:sz="4" w:space="0"/>
              <w:right w:val="single" w:color="auto" w:sz="4" w:space="0"/>
            </w:tcBorders>
          </w:tcPr>
          <w:p w14:paraId="5C7A547B">
            <w:pPr>
              <w:keepNext w:val="0"/>
              <w:keepLines w:val="0"/>
              <w:pageBreakBefore w:val="0"/>
              <w:wordWrap/>
              <w:topLinePunct w:val="0"/>
              <w:bidi w:val="0"/>
              <w:spacing w:line="500" w:lineRule="exact"/>
              <w:jc w:val="center"/>
              <w:textAlignment w:val="auto"/>
              <w:rPr>
                <w:rFonts w:hint="eastAsia" w:ascii="仿宋_GB2312" w:hAnsi="仿宋_GB2312" w:eastAsia="仿宋_GB2312" w:cs="仿宋_GB2312"/>
                <w:color w:val="auto"/>
                <w:kern w:val="2"/>
                <w:sz w:val="28"/>
                <w:szCs w:val="28"/>
                <w:lang w:eastAsia="zh-CN"/>
              </w:rPr>
            </w:pPr>
            <w:r>
              <w:rPr>
                <w:rFonts w:hint="eastAsia" w:ascii="仿宋_GB2312" w:hAnsi="仿宋_GB2312" w:eastAsia="仿宋_GB2312" w:cs="仿宋_GB2312"/>
                <w:color w:val="auto"/>
                <w:kern w:val="2"/>
                <w:sz w:val="28"/>
                <w:szCs w:val="28"/>
                <w:lang w:val="en-US" w:eastAsia="zh-CN"/>
              </w:rPr>
              <w:t>1</w:t>
            </w:r>
          </w:p>
        </w:tc>
        <w:tc>
          <w:tcPr>
            <w:tcW w:w="1318" w:type="dxa"/>
            <w:vMerge w:val="restart"/>
            <w:tcBorders>
              <w:top w:val="single" w:color="auto" w:sz="4" w:space="0"/>
              <w:left w:val="single" w:color="auto" w:sz="4" w:space="0"/>
              <w:bottom w:val="single" w:color="auto" w:sz="4" w:space="0"/>
              <w:right w:val="single" w:color="auto" w:sz="4" w:space="0"/>
            </w:tcBorders>
          </w:tcPr>
          <w:p w14:paraId="5C07E399">
            <w:pPr>
              <w:keepNext w:val="0"/>
              <w:keepLines w:val="0"/>
              <w:pageBreakBefore w:val="0"/>
              <w:wordWrap/>
              <w:topLinePunct w:val="0"/>
              <w:bidi w:val="0"/>
              <w:spacing w:line="500" w:lineRule="exact"/>
              <w:jc w:val="center"/>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lang w:val="en-US" w:eastAsia="zh-CN"/>
              </w:rPr>
              <w:t>竣工</w:t>
            </w:r>
            <w:r>
              <w:rPr>
                <w:rFonts w:hint="eastAsia" w:ascii="仿宋_GB2312" w:hAnsi="仿宋_GB2312" w:eastAsia="仿宋_GB2312" w:cs="仿宋_GB2312"/>
                <w:color w:val="auto"/>
                <w:kern w:val="2"/>
                <w:sz w:val="28"/>
                <w:szCs w:val="28"/>
              </w:rPr>
              <w:t>结算审核</w:t>
            </w:r>
          </w:p>
        </w:tc>
        <w:tc>
          <w:tcPr>
            <w:tcW w:w="1727" w:type="dxa"/>
            <w:vMerge w:val="restart"/>
            <w:tcBorders>
              <w:top w:val="single" w:color="auto" w:sz="4" w:space="0"/>
              <w:left w:val="single" w:color="auto" w:sz="4" w:space="0"/>
              <w:bottom w:val="single" w:color="auto" w:sz="4" w:space="0"/>
              <w:right w:val="single" w:color="auto" w:sz="4" w:space="0"/>
            </w:tcBorders>
          </w:tcPr>
          <w:p w14:paraId="35B35A85">
            <w:pPr>
              <w:keepNext w:val="0"/>
              <w:keepLines w:val="0"/>
              <w:pageBreakBefore w:val="0"/>
              <w:wordWrap/>
              <w:topLinePunct w:val="0"/>
              <w:bidi w:val="0"/>
              <w:spacing w:line="500" w:lineRule="exact"/>
              <w:jc w:val="center"/>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rPr>
              <w:t>基本费+效益费</w:t>
            </w:r>
          </w:p>
        </w:tc>
        <w:tc>
          <w:tcPr>
            <w:tcW w:w="3092" w:type="dxa"/>
            <w:tcBorders>
              <w:top w:val="single" w:color="auto" w:sz="4" w:space="0"/>
              <w:left w:val="single" w:color="auto" w:sz="4" w:space="0"/>
              <w:bottom w:val="single" w:color="auto" w:sz="4" w:space="0"/>
              <w:right w:val="single" w:color="auto" w:sz="4" w:space="0"/>
            </w:tcBorders>
          </w:tcPr>
          <w:p w14:paraId="3CA47669">
            <w:pPr>
              <w:keepNext w:val="0"/>
              <w:keepLines w:val="0"/>
              <w:pageBreakBefore w:val="0"/>
              <w:wordWrap/>
              <w:topLinePunct w:val="0"/>
              <w:bidi w:val="0"/>
              <w:spacing w:line="500" w:lineRule="exact"/>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rPr>
              <w:t>送审工程造价</w:t>
            </w:r>
          </w:p>
        </w:tc>
        <w:tc>
          <w:tcPr>
            <w:tcW w:w="1276" w:type="dxa"/>
            <w:tcBorders>
              <w:top w:val="single" w:color="auto" w:sz="4" w:space="0"/>
              <w:left w:val="single" w:color="auto" w:sz="4" w:space="0"/>
              <w:bottom w:val="single" w:color="auto" w:sz="4" w:space="0"/>
              <w:right w:val="single" w:color="auto" w:sz="4" w:space="0"/>
            </w:tcBorders>
          </w:tcPr>
          <w:p w14:paraId="0C5F68AC">
            <w:pPr>
              <w:keepNext w:val="0"/>
              <w:keepLines w:val="0"/>
              <w:pageBreakBefore w:val="0"/>
              <w:wordWrap/>
              <w:topLinePunct w:val="0"/>
              <w:bidi w:val="0"/>
              <w:spacing w:line="500" w:lineRule="exact"/>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rPr>
              <w:t>3‰</w:t>
            </w:r>
          </w:p>
        </w:tc>
      </w:tr>
      <w:tr w14:paraId="699CC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vMerge w:val="continue"/>
            <w:tcBorders>
              <w:top w:val="single" w:color="auto" w:sz="4" w:space="0"/>
              <w:left w:val="single" w:color="auto" w:sz="4" w:space="0"/>
              <w:bottom w:val="single" w:color="auto" w:sz="4" w:space="0"/>
              <w:right w:val="single" w:color="auto" w:sz="4" w:space="0"/>
            </w:tcBorders>
            <w:vAlign w:val="center"/>
          </w:tcPr>
          <w:p w14:paraId="6EE3343E">
            <w:pPr>
              <w:keepNext w:val="0"/>
              <w:keepLines w:val="0"/>
              <w:pageBreakBefore w:val="0"/>
              <w:widowControl/>
              <w:wordWrap/>
              <w:topLinePunct w:val="0"/>
              <w:bidi w:val="0"/>
              <w:spacing w:line="500" w:lineRule="exact"/>
              <w:jc w:val="left"/>
              <w:textAlignment w:val="auto"/>
              <w:rPr>
                <w:rFonts w:hint="eastAsia" w:ascii="仿宋_GB2312" w:hAnsi="仿宋_GB2312" w:eastAsia="仿宋_GB2312" w:cs="仿宋_GB2312"/>
                <w:color w:val="auto"/>
                <w:kern w:val="2"/>
                <w:sz w:val="28"/>
                <w:szCs w:val="28"/>
              </w:rPr>
            </w:pPr>
          </w:p>
        </w:tc>
        <w:tc>
          <w:tcPr>
            <w:tcW w:w="1318" w:type="dxa"/>
            <w:vMerge w:val="continue"/>
            <w:tcBorders>
              <w:top w:val="single" w:color="auto" w:sz="4" w:space="0"/>
              <w:left w:val="single" w:color="auto" w:sz="4" w:space="0"/>
              <w:bottom w:val="single" w:color="auto" w:sz="4" w:space="0"/>
              <w:right w:val="single" w:color="auto" w:sz="4" w:space="0"/>
            </w:tcBorders>
            <w:vAlign w:val="center"/>
          </w:tcPr>
          <w:p w14:paraId="1D5810E8">
            <w:pPr>
              <w:keepNext w:val="0"/>
              <w:keepLines w:val="0"/>
              <w:pageBreakBefore w:val="0"/>
              <w:widowControl/>
              <w:wordWrap/>
              <w:topLinePunct w:val="0"/>
              <w:bidi w:val="0"/>
              <w:spacing w:line="500" w:lineRule="exact"/>
              <w:jc w:val="left"/>
              <w:textAlignment w:val="auto"/>
              <w:rPr>
                <w:rFonts w:hint="eastAsia" w:ascii="仿宋_GB2312" w:hAnsi="仿宋_GB2312" w:eastAsia="仿宋_GB2312" w:cs="仿宋_GB2312"/>
                <w:color w:val="auto"/>
                <w:kern w:val="2"/>
                <w:sz w:val="28"/>
                <w:szCs w:val="28"/>
              </w:rPr>
            </w:pPr>
          </w:p>
        </w:tc>
        <w:tc>
          <w:tcPr>
            <w:tcW w:w="1727" w:type="dxa"/>
            <w:vMerge w:val="continue"/>
            <w:tcBorders>
              <w:top w:val="single" w:color="auto" w:sz="4" w:space="0"/>
              <w:left w:val="single" w:color="auto" w:sz="4" w:space="0"/>
              <w:bottom w:val="single" w:color="auto" w:sz="4" w:space="0"/>
              <w:right w:val="single" w:color="auto" w:sz="4" w:space="0"/>
            </w:tcBorders>
            <w:vAlign w:val="center"/>
          </w:tcPr>
          <w:p w14:paraId="568D5ACA">
            <w:pPr>
              <w:keepNext w:val="0"/>
              <w:keepLines w:val="0"/>
              <w:pageBreakBefore w:val="0"/>
              <w:widowControl/>
              <w:wordWrap/>
              <w:topLinePunct w:val="0"/>
              <w:bidi w:val="0"/>
              <w:spacing w:line="500" w:lineRule="exact"/>
              <w:jc w:val="left"/>
              <w:textAlignment w:val="auto"/>
              <w:rPr>
                <w:rFonts w:hint="eastAsia" w:ascii="仿宋_GB2312" w:hAnsi="仿宋_GB2312" w:eastAsia="仿宋_GB2312" w:cs="仿宋_GB2312"/>
                <w:color w:val="auto"/>
                <w:kern w:val="2"/>
                <w:sz w:val="28"/>
                <w:szCs w:val="28"/>
              </w:rPr>
            </w:pPr>
          </w:p>
        </w:tc>
        <w:tc>
          <w:tcPr>
            <w:tcW w:w="3092" w:type="dxa"/>
            <w:tcBorders>
              <w:top w:val="single" w:color="auto" w:sz="4" w:space="0"/>
              <w:left w:val="single" w:color="auto" w:sz="4" w:space="0"/>
              <w:bottom w:val="single" w:color="auto" w:sz="4" w:space="0"/>
              <w:right w:val="single" w:color="auto" w:sz="4" w:space="0"/>
            </w:tcBorders>
          </w:tcPr>
          <w:p w14:paraId="07E0CE4E">
            <w:pPr>
              <w:keepNext w:val="0"/>
              <w:keepLines w:val="0"/>
              <w:pageBreakBefore w:val="0"/>
              <w:wordWrap/>
              <w:topLinePunct w:val="0"/>
              <w:bidi w:val="0"/>
              <w:spacing w:line="500" w:lineRule="exact"/>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rPr>
              <w:t>|核减额|</w:t>
            </w:r>
          </w:p>
        </w:tc>
        <w:tc>
          <w:tcPr>
            <w:tcW w:w="1276" w:type="dxa"/>
            <w:tcBorders>
              <w:top w:val="single" w:color="auto" w:sz="4" w:space="0"/>
              <w:left w:val="single" w:color="auto" w:sz="4" w:space="0"/>
              <w:bottom w:val="single" w:color="auto" w:sz="4" w:space="0"/>
              <w:right w:val="single" w:color="auto" w:sz="4" w:space="0"/>
            </w:tcBorders>
          </w:tcPr>
          <w:p w14:paraId="56572E6C">
            <w:pPr>
              <w:keepNext w:val="0"/>
              <w:keepLines w:val="0"/>
              <w:pageBreakBefore w:val="0"/>
              <w:wordWrap/>
              <w:topLinePunct w:val="0"/>
              <w:bidi w:val="0"/>
              <w:spacing w:line="500" w:lineRule="exact"/>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rPr>
              <w:t>6</w:t>
            </w:r>
            <w:r>
              <w:rPr>
                <w:rFonts w:hint="eastAsia" w:ascii="仿宋_GB2312" w:hAnsi="仿宋_GB2312" w:eastAsia="仿宋_GB2312" w:cs="仿宋_GB2312"/>
                <w:color w:val="auto"/>
                <w:kern w:val="2"/>
                <w:sz w:val="28"/>
                <w:szCs w:val="28"/>
                <w:lang w:val="en-US" w:eastAsia="zh-CN"/>
              </w:rPr>
              <w:t>.5</w:t>
            </w:r>
            <w:r>
              <w:rPr>
                <w:rFonts w:hint="eastAsia" w:ascii="仿宋_GB2312" w:hAnsi="仿宋_GB2312" w:eastAsia="仿宋_GB2312" w:cs="仿宋_GB2312"/>
                <w:color w:val="auto"/>
                <w:kern w:val="2"/>
                <w:sz w:val="28"/>
                <w:szCs w:val="28"/>
              </w:rPr>
              <w:t>%</w:t>
            </w:r>
          </w:p>
        </w:tc>
      </w:tr>
    </w:tbl>
    <w:p w14:paraId="3EA763F2">
      <w:pPr>
        <w:keepNext w:val="0"/>
        <w:keepLines w:val="0"/>
        <w:pageBreakBefore w:val="0"/>
        <w:widowControl/>
        <w:suppressLineNumbers w:val="0"/>
        <w:wordWrap/>
        <w:topLinePunct w:val="0"/>
        <w:bidi w:val="0"/>
        <w:spacing w:line="500" w:lineRule="exact"/>
        <w:ind w:firstLine="560" w:firstLineChars="200"/>
        <w:jc w:val="left"/>
        <w:textAlignment w:val="auto"/>
        <w:rPr>
          <w:rFonts w:hint="eastAsia" w:ascii="仿宋_GB2312" w:hAnsi="仿宋_GB2312" w:eastAsia="仿宋_GB2312" w:cs="仿宋_GB2312"/>
          <w:color w:val="auto"/>
          <w:kern w:val="0"/>
          <w:sz w:val="28"/>
          <w:szCs w:val="28"/>
          <w:lang w:val="en-US" w:eastAsia="zh-CN" w:bidi="ar"/>
        </w:rPr>
      </w:pPr>
      <w:r>
        <w:rPr>
          <w:rFonts w:hint="eastAsia" w:ascii="仿宋_GB2312" w:hAnsi="仿宋_GB2312" w:eastAsia="仿宋_GB2312" w:cs="仿宋_GB2312"/>
          <w:color w:val="auto"/>
          <w:kern w:val="0"/>
          <w:sz w:val="28"/>
          <w:szCs w:val="28"/>
          <w:lang w:val="en-US" w:eastAsia="zh-CN" w:bidi="ar"/>
        </w:rPr>
        <w:t>例如：送审造价为20万元，结算审定工程造价为 19万。本次服务费：20*3</w:t>
      </w:r>
      <w:r>
        <w:rPr>
          <w:rFonts w:hint="eastAsia" w:ascii="仿宋_GB2312" w:hAnsi="仿宋_GB2312" w:eastAsia="仿宋_GB2312" w:cs="仿宋_GB2312"/>
          <w:color w:val="auto"/>
          <w:kern w:val="2"/>
          <w:sz w:val="28"/>
          <w:szCs w:val="28"/>
        </w:rPr>
        <w:t>‰</w:t>
      </w:r>
      <w:r>
        <w:rPr>
          <w:rFonts w:hint="eastAsia" w:ascii="仿宋_GB2312" w:hAnsi="仿宋_GB2312" w:eastAsia="仿宋_GB2312" w:cs="仿宋_GB2312"/>
          <w:color w:val="auto"/>
          <w:kern w:val="2"/>
          <w:sz w:val="28"/>
          <w:szCs w:val="28"/>
          <w:lang w:val="en-US" w:eastAsia="zh-CN"/>
        </w:rPr>
        <w:t>+（20-19）*</w:t>
      </w:r>
      <w:r>
        <w:rPr>
          <w:rFonts w:hint="eastAsia" w:ascii="仿宋_GB2312" w:hAnsi="仿宋_GB2312" w:eastAsia="仿宋_GB2312" w:cs="仿宋_GB2312"/>
          <w:color w:val="auto"/>
          <w:kern w:val="2"/>
          <w:sz w:val="28"/>
          <w:szCs w:val="28"/>
        </w:rPr>
        <w:t>6</w:t>
      </w:r>
      <w:r>
        <w:rPr>
          <w:rFonts w:hint="eastAsia" w:ascii="仿宋_GB2312" w:hAnsi="仿宋_GB2312" w:eastAsia="仿宋_GB2312" w:cs="仿宋_GB2312"/>
          <w:color w:val="auto"/>
          <w:kern w:val="2"/>
          <w:sz w:val="28"/>
          <w:szCs w:val="28"/>
          <w:lang w:val="en-US" w:eastAsia="zh-CN"/>
        </w:rPr>
        <w:t>.5</w:t>
      </w:r>
      <w:r>
        <w:rPr>
          <w:rFonts w:hint="eastAsia" w:ascii="仿宋_GB2312" w:hAnsi="仿宋_GB2312" w:eastAsia="仿宋_GB2312" w:cs="仿宋_GB2312"/>
          <w:color w:val="auto"/>
          <w:kern w:val="2"/>
          <w:sz w:val="28"/>
          <w:szCs w:val="28"/>
        </w:rPr>
        <w:t>%</w:t>
      </w:r>
      <w:r>
        <w:rPr>
          <w:rFonts w:hint="eastAsia" w:ascii="仿宋_GB2312" w:hAnsi="仿宋_GB2312" w:eastAsia="仿宋_GB2312" w:cs="仿宋_GB2312"/>
          <w:color w:val="auto"/>
          <w:kern w:val="2"/>
          <w:sz w:val="28"/>
          <w:szCs w:val="28"/>
          <w:lang w:val="en-US" w:eastAsia="zh-CN"/>
        </w:rPr>
        <w:t>=0.125万元。</w:t>
      </w:r>
      <w:r>
        <w:rPr>
          <w:rFonts w:hint="eastAsia" w:ascii="仿宋_GB2312" w:hAnsi="仿宋_GB2312" w:eastAsia="仿宋_GB2312" w:cs="仿宋_GB2312"/>
          <w:color w:val="auto"/>
          <w:kern w:val="0"/>
          <w:sz w:val="28"/>
          <w:szCs w:val="28"/>
          <w:lang w:val="en-US" w:eastAsia="zh-CN" w:bidi="ar"/>
        </w:rPr>
        <w:t>送审造价为49万元，结算审定工程造价为 48万。本次服务费：49*3</w:t>
      </w:r>
      <w:r>
        <w:rPr>
          <w:rFonts w:hint="eastAsia" w:ascii="仿宋_GB2312" w:hAnsi="仿宋_GB2312" w:eastAsia="仿宋_GB2312" w:cs="仿宋_GB2312"/>
          <w:color w:val="auto"/>
          <w:kern w:val="2"/>
          <w:sz w:val="28"/>
          <w:szCs w:val="28"/>
        </w:rPr>
        <w:t>‰</w:t>
      </w:r>
      <w:r>
        <w:rPr>
          <w:rFonts w:hint="eastAsia" w:ascii="仿宋_GB2312" w:hAnsi="仿宋_GB2312" w:eastAsia="仿宋_GB2312" w:cs="仿宋_GB2312"/>
          <w:color w:val="auto"/>
          <w:kern w:val="2"/>
          <w:sz w:val="28"/>
          <w:szCs w:val="28"/>
          <w:lang w:val="en-US" w:eastAsia="zh-CN"/>
        </w:rPr>
        <w:t>+（49-48）*</w:t>
      </w:r>
      <w:r>
        <w:rPr>
          <w:rFonts w:hint="eastAsia" w:ascii="仿宋_GB2312" w:hAnsi="仿宋_GB2312" w:eastAsia="仿宋_GB2312" w:cs="仿宋_GB2312"/>
          <w:color w:val="auto"/>
          <w:kern w:val="2"/>
          <w:sz w:val="28"/>
          <w:szCs w:val="28"/>
        </w:rPr>
        <w:t>6</w:t>
      </w:r>
      <w:r>
        <w:rPr>
          <w:rFonts w:hint="eastAsia" w:ascii="仿宋_GB2312" w:hAnsi="仿宋_GB2312" w:eastAsia="仿宋_GB2312" w:cs="仿宋_GB2312"/>
          <w:color w:val="auto"/>
          <w:kern w:val="2"/>
          <w:sz w:val="28"/>
          <w:szCs w:val="28"/>
          <w:lang w:val="en-US" w:eastAsia="zh-CN"/>
        </w:rPr>
        <w:t>.5</w:t>
      </w:r>
      <w:r>
        <w:rPr>
          <w:rFonts w:hint="eastAsia" w:ascii="仿宋_GB2312" w:hAnsi="仿宋_GB2312" w:eastAsia="仿宋_GB2312" w:cs="仿宋_GB2312"/>
          <w:color w:val="auto"/>
          <w:kern w:val="2"/>
          <w:sz w:val="28"/>
          <w:szCs w:val="28"/>
        </w:rPr>
        <w:t>%</w:t>
      </w:r>
      <w:r>
        <w:rPr>
          <w:rFonts w:hint="eastAsia" w:ascii="仿宋_GB2312" w:hAnsi="仿宋_GB2312" w:eastAsia="仿宋_GB2312" w:cs="仿宋_GB2312"/>
          <w:color w:val="auto"/>
          <w:kern w:val="2"/>
          <w:sz w:val="28"/>
          <w:szCs w:val="28"/>
          <w:lang w:val="en-US" w:eastAsia="zh-CN"/>
        </w:rPr>
        <w:t>=0.212万元。</w:t>
      </w:r>
    </w:p>
    <w:p w14:paraId="143E6014">
      <w:pPr>
        <w:keepNext w:val="0"/>
        <w:keepLines w:val="0"/>
        <w:pageBreakBefore w:val="0"/>
        <w:widowControl/>
        <w:suppressLineNumbers w:val="0"/>
        <w:wordWrap/>
        <w:topLinePunct w:val="0"/>
        <w:bidi w:val="0"/>
        <w:spacing w:line="500" w:lineRule="exact"/>
        <w:ind w:firstLine="560" w:firstLineChars="200"/>
        <w:jc w:val="left"/>
        <w:textAlignment w:val="auto"/>
        <w:rPr>
          <w:rFonts w:hint="eastAsia" w:ascii="仿宋_GB2312" w:hAnsi="仿宋_GB2312" w:eastAsia="仿宋_GB2312" w:cs="仿宋_GB2312"/>
          <w:color w:val="auto"/>
          <w:sz w:val="28"/>
          <w:szCs w:val="28"/>
          <w:lang w:val="en-US"/>
        </w:rPr>
      </w:pPr>
      <w:r>
        <w:rPr>
          <w:rFonts w:hint="eastAsia" w:ascii="仿宋_GB2312" w:hAnsi="仿宋_GB2312" w:eastAsia="仿宋_GB2312" w:cs="仿宋_GB2312"/>
          <w:color w:val="auto"/>
          <w:kern w:val="0"/>
          <w:sz w:val="28"/>
          <w:szCs w:val="28"/>
          <w:lang w:val="en-US" w:eastAsia="zh-CN" w:bidi="ar"/>
        </w:rPr>
        <w:t>如单个工程结算项目按以上相应费率计算得出的审核服务费少于1500元的， 按1500元计，超1500元据实结算。</w:t>
      </w:r>
    </w:p>
    <w:p w14:paraId="6D0FF256">
      <w:pPr>
        <w:keepNext w:val="0"/>
        <w:keepLines w:val="0"/>
        <w:pageBreakBefore w:val="0"/>
        <w:wordWrap/>
        <w:topLinePunct w:val="0"/>
        <w:bidi w:val="0"/>
        <w:spacing w:line="50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三、投入人力要求</w:t>
      </w:r>
    </w:p>
    <w:p w14:paraId="5A85AABB">
      <w:pPr>
        <w:keepNext w:val="0"/>
        <w:keepLines w:val="0"/>
        <w:pageBreakBefore w:val="0"/>
        <w:wordWrap/>
        <w:topLinePunct w:val="0"/>
        <w:bidi w:val="0"/>
        <w:spacing w:line="5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（1）拟</w:t>
      </w:r>
      <w:r>
        <w:rPr>
          <w:rFonts w:hint="eastAsia" w:ascii="仿宋_GB2312" w:hAnsi="仿宋_GB2312" w:eastAsia="仿宋_GB2312" w:cs="仿宋_GB2312"/>
          <w:sz w:val="28"/>
          <w:szCs w:val="28"/>
          <w:lang w:val="en-US" w:eastAsia="zh-CN"/>
        </w:rPr>
        <w:t>投入人员</w:t>
      </w:r>
      <w:r>
        <w:rPr>
          <w:rFonts w:hint="eastAsia" w:ascii="仿宋_GB2312" w:hAnsi="仿宋_GB2312" w:eastAsia="仿宋_GB2312" w:cs="仿宋_GB2312"/>
          <w:sz w:val="28"/>
          <w:szCs w:val="28"/>
        </w:rPr>
        <w:t>不少于</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人，</w:t>
      </w:r>
      <w:r>
        <w:rPr>
          <w:rFonts w:hint="eastAsia" w:ascii="仿宋_GB2312" w:hAnsi="仿宋_GB2312" w:eastAsia="仿宋_GB2312" w:cs="仿宋_GB2312"/>
          <w:sz w:val="28"/>
          <w:szCs w:val="28"/>
          <w:lang w:val="en-US" w:eastAsia="zh-CN"/>
        </w:rPr>
        <w:t>其中土建专业不少于5人，安装专业不少于2人，具有丰富的工程造价审核及管理经验，并具备相关专业的造价师资格。其中项目负责人1人，具备国家一级注册造价师资格及高级职称。为确保审核质量，需提供拟投入人员资格相关证明材料。</w:t>
      </w:r>
    </w:p>
    <w:p w14:paraId="211A4F0D">
      <w:pPr>
        <w:keepNext w:val="0"/>
        <w:keepLines w:val="0"/>
        <w:pageBreakBefore w:val="0"/>
        <w:wordWrap/>
        <w:topLinePunct w:val="0"/>
        <w:bidi w:val="0"/>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供应商投入的人员，须为本单位专职专业人员，且必须具有相关执业资格，熟悉建设工程竣工结算业务、编制工程量清单和招标控制价等业务的专业人员。供应商需提供以下相关证明材料：社保部门出具的包括拟投入人员在内的近三个月份单位缴费证明。</w:t>
      </w:r>
    </w:p>
    <w:p w14:paraId="3DCF30BC">
      <w:pPr>
        <w:keepNext w:val="0"/>
        <w:keepLines w:val="0"/>
        <w:pageBreakBefore w:val="0"/>
        <w:wordWrap/>
        <w:topLinePunct w:val="0"/>
        <w:bidi w:val="0"/>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（3）供应商投入的人员，必须与响应文件承诺拟投入的人员一致。如果供应商需要更换投入人员时，应向</w:t>
      </w:r>
      <w:r>
        <w:rPr>
          <w:rFonts w:hint="eastAsia" w:ascii="仿宋_GB2312" w:hAnsi="仿宋_GB2312" w:eastAsia="仿宋_GB2312" w:cs="仿宋_GB2312"/>
          <w:sz w:val="28"/>
          <w:szCs w:val="28"/>
          <w:lang w:val="en-US" w:eastAsia="zh-CN"/>
        </w:rPr>
        <w:t>采购人</w:t>
      </w:r>
      <w:r>
        <w:rPr>
          <w:rFonts w:hint="eastAsia" w:ascii="仿宋_GB2312" w:hAnsi="仿宋_GB2312" w:eastAsia="仿宋_GB2312" w:cs="仿宋_GB2312"/>
          <w:sz w:val="28"/>
          <w:szCs w:val="28"/>
        </w:rPr>
        <w:t>提出申请并得到</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人的同意。</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人认为供应商实际投入的人员不足以满足任务需要或认为人员不称职时，可向供应商发出要求增加或更换人员的通知，供应商应在收到通知后</w:t>
      </w:r>
      <w:r>
        <w:rPr>
          <w:rFonts w:hint="eastAsia" w:ascii="仿宋_GB2312" w:hAnsi="仿宋_GB2312" w:eastAsia="仿宋_GB2312" w:cs="仿宋_GB2312"/>
          <w:sz w:val="28"/>
          <w:szCs w:val="28"/>
          <w:lang w:val="en-US" w:eastAsia="zh-CN"/>
        </w:rPr>
        <w:t>的</w:t>
      </w:r>
      <w:r>
        <w:rPr>
          <w:rFonts w:hint="eastAsia" w:ascii="仿宋_GB2312" w:hAnsi="仿宋_GB2312" w:eastAsia="仿宋_GB2312" w:cs="仿宋_GB2312"/>
          <w:sz w:val="28"/>
          <w:szCs w:val="28"/>
        </w:rPr>
        <w:t>2天内增加或更换符合</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人需求的人员，由此产生的费用由供应商自行承担。</w:t>
      </w:r>
    </w:p>
    <w:p w14:paraId="157FC277">
      <w:pPr>
        <w:keepNext w:val="0"/>
        <w:keepLines w:val="0"/>
        <w:pageBreakBefore w:val="0"/>
        <w:wordWrap/>
        <w:topLinePunct w:val="0"/>
        <w:bidi w:val="0"/>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质量控制要求</w:t>
      </w:r>
    </w:p>
    <w:p w14:paraId="584FB640">
      <w:pPr>
        <w:keepNext w:val="0"/>
        <w:keepLines w:val="0"/>
        <w:pageBreakBefore w:val="0"/>
        <w:wordWrap/>
        <w:topLinePunct w:val="0"/>
        <w:bidi w:val="0"/>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严格按照现行的《建设工程造价咨询成果文件质量标准》CECA/GC7-2012、《建设项目全过程造价咨询规程》CECA/GC4-2017</w:t>
      </w:r>
      <w:r>
        <w:rPr>
          <w:rFonts w:hint="eastAsia" w:ascii="仿宋_GB2312" w:hAnsi="仿宋_GB2312" w:eastAsia="仿宋_GB2312" w:cs="仿宋_GB2312"/>
          <w:sz w:val="28"/>
          <w:szCs w:val="28"/>
          <w:lang w:val="en-US" w:eastAsia="zh-CN"/>
        </w:rPr>
        <w:t>等</w:t>
      </w:r>
      <w:r>
        <w:rPr>
          <w:rFonts w:hint="eastAsia" w:ascii="仿宋_GB2312" w:hAnsi="仿宋_GB2312" w:eastAsia="仿宋_GB2312" w:cs="仿宋_GB2312"/>
          <w:sz w:val="28"/>
          <w:szCs w:val="28"/>
        </w:rPr>
        <w:t>文件要求进行审核工作，依照相关依据发表专业意见出具成果文件，并对成果的真实性、完整性、准确性负责。</w:t>
      </w:r>
    </w:p>
    <w:p w14:paraId="1D219F38">
      <w:pPr>
        <w:keepNext w:val="0"/>
        <w:keepLines w:val="0"/>
        <w:pageBreakBefore w:val="0"/>
        <w:wordWrap/>
        <w:topLinePunct w:val="0"/>
        <w:bidi w:val="0"/>
        <w:spacing w:line="5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2.供应商</w:t>
      </w:r>
      <w:r>
        <w:rPr>
          <w:rFonts w:hint="eastAsia" w:ascii="仿宋_GB2312" w:hAnsi="仿宋_GB2312" w:eastAsia="仿宋_GB2312" w:cs="仿宋_GB2312"/>
          <w:sz w:val="28"/>
          <w:szCs w:val="28"/>
        </w:rPr>
        <w:t>在项目审核工程中，应该恪守客观公正、实事求是的原则，确保审核工作的真实完整和准确，保证审核质量。竣工结算资料中如发现有与实际施工不一致、背离市场价格或影响工程造价等情况的资料，有责任和义务向采购人书面指出并提出合理化建议；不得与施工单位串通，影响审核结果的公正性和准确性</w:t>
      </w:r>
      <w:r>
        <w:rPr>
          <w:rFonts w:hint="eastAsia" w:ascii="仿宋_GB2312" w:hAnsi="仿宋_GB2312" w:eastAsia="仿宋_GB2312" w:cs="仿宋_GB2312"/>
          <w:sz w:val="28"/>
          <w:szCs w:val="28"/>
          <w:lang w:eastAsia="zh-CN"/>
        </w:rPr>
        <w:t>。</w:t>
      </w:r>
    </w:p>
    <w:p w14:paraId="1C8097FC">
      <w:pPr>
        <w:keepNext w:val="0"/>
        <w:keepLines w:val="0"/>
        <w:pageBreakBefore w:val="0"/>
        <w:wordWrap/>
        <w:topLinePunct w:val="0"/>
        <w:bidi w:val="0"/>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审核报告编制标准：审核内容完整、数据准确、依据充分，审核结论定性客观、定量准确、依据充分，核增核减原因定性准确、条理清晰，披露审核问题有理有据、分析透彻，提出审核建议措施具体、针对性强。</w:t>
      </w:r>
    </w:p>
    <w:p w14:paraId="3A18950D">
      <w:pPr>
        <w:keepNext w:val="0"/>
        <w:keepLines w:val="0"/>
        <w:pageBreakBefore w:val="0"/>
        <w:wordWrap/>
        <w:topLinePunct w:val="0"/>
        <w:bidi w:val="0"/>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供应商不得泄露</w:t>
      </w:r>
      <w:r>
        <w:rPr>
          <w:rFonts w:hint="eastAsia" w:ascii="仿宋_GB2312" w:hAnsi="仿宋_GB2312" w:eastAsia="仿宋_GB2312" w:cs="仿宋_GB2312"/>
          <w:sz w:val="28"/>
          <w:szCs w:val="28"/>
          <w:lang w:val="en-US" w:eastAsia="zh-CN"/>
        </w:rPr>
        <w:t>采购人</w:t>
      </w:r>
      <w:r>
        <w:rPr>
          <w:rFonts w:hint="eastAsia" w:ascii="仿宋_GB2312" w:hAnsi="仿宋_GB2312" w:eastAsia="仿宋_GB2312" w:cs="仿宋_GB2312"/>
          <w:sz w:val="28"/>
          <w:szCs w:val="28"/>
        </w:rPr>
        <w:t>及所承接项目的任何商业机密，不得未经</w:t>
      </w:r>
      <w:r>
        <w:rPr>
          <w:rFonts w:hint="eastAsia" w:ascii="仿宋_GB2312" w:hAnsi="仿宋_GB2312" w:eastAsia="仿宋_GB2312" w:cs="仿宋_GB2312"/>
          <w:sz w:val="28"/>
          <w:szCs w:val="28"/>
          <w:lang w:val="en-US" w:eastAsia="zh-CN"/>
        </w:rPr>
        <w:t>采购人</w:t>
      </w:r>
      <w:r>
        <w:rPr>
          <w:rFonts w:hint="eastAsia" w:ascii="仿宋_GB2312" w:hAnsi="仿宋_GB2312" w:eastAsia="仿宋_GB2312" w:cs="仿宋_GB2312"/>
          <w:sz w:val="28"/>
          <w:szCs w:val="28"/>
        </w:rPr>
        <w:t>同意擅自对外公开审核结论。</w:t>
      </w:r>
    </w:p>
    <w:p w14:paraId="7F2B31A1">
      <w:pPr>
        <w:keepNext w:val="0"/>
        <w:keepLines w:val="0"/>
        <w:pageBreakBefore w:val="0"/>
        <w:wordWrap/>
        <w:topLinePunct w:val="0"/>
        <w:bidi w:val="0"/>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5.供应商</w:t>
      </w:r>
      <w:r>
        <w:rPr>
          <w:rFonts w:hint="eastAsia" w:ascii="仿宋_GB2312" w:hAnsi="仿宋_GB2312" w:eastAsia="仿宋_GB2312" w:cs="仿宋_GB2312"/>
          <w:sz w:val="28"/>
          <w:szCs w:val="28"/>
        </w:rPr>
        <w:t>应严格遵守廉洁自律的有关规定，坚决抵制各种可能影响客观公正审核的商业贿赂，坚决不搞人情审核，避免和杜绝吃拿卡要的不良行为。如因</w:t>
      </w:r>
      <w:r>
        <w:rPr>
          <w:rFonts w:hint="eastAsia" w:ascii="仿宋_GB2312" w:hAnsi="仿宋_GB2312" w:eastAsia="仿宋_GB2312" w:cs="仿宋_GB2312"/>
          <w:sz w:val="28"/>
          <w:szCs w:val="28"/>
          <w:lang w:val="en-US" w:eastAsia="zh-CN"/>
        </w:rPr>
        <w:t>供应商</w:t>
      </w:r>
      <w:r>
        <w:rPr>
          <w:rFonts w:hint="eastAsia" w:ascii="仿宋_GB2312" w:hAnsi="仿宋_GB2312" w:eastAsia="仿宋_GB2312" w:cs="仿宋_GB2312"/>
          <w:sz w:val="28"/>
          <w:szCs w:val="28"/>
        </w:rPr>
        <w:t>原因出现违规违纪行为，应及时处理并承担相应法律责任，</w:t>
      </w:r>
      <w:r>
        <w:rPr>
          <w:rFonts w:hint="eastAsia" w:ascii="仿宋_GB2312" w:hAnsi="仿宋_GB2312" w:eastAsia="仿宋_GB2312" w:cs="仿宋_GB2312"/>
          <w:sz w:val="28"/>
          <w:szCs w:val="28"/>
          <w:lang w:val="en-US" w:eastAsia="zh-CN"/>
        </w:rPr>
        <w:t>采购人</w:t>
      </w:r>
      <w:r>
        <w:rPr>
          <w:rFonts w:hint="eastAsia" w:ascii="仿宋_GB2312" w:hAnsi="仿宋_GB2312" w:eastAsia="仿宋_GB2312" w:cs="仿宋_GB2312"/>
          <w:sz w:val="28"/>
          <w:szCs w:val="28"/>
        </w:rPr>
        <w:t>有权追究其相关责任。</w:t>
      </w:r>
    </w:p>
    <w:p w14:paraId="1F3BFDAE">
      <w:pPr>
        <w:keepNext w:val="0"/>
        <w:keepLines w:val="0"/>
        <w:pageBreakBefore w:val="0"/>
        <w:wordWrap/>
        <w:topLinePunct w:val="0"/>
        <w:bidi w:val="0"/>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供应商在接受委托任务后应积极主动地与</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人联系，落实具体事宜，安排充足的人员在规定的时间内完成委托任务评审工作，并将安排的该委托任务的负责人及相关技术人员姓名与联系电话书面反馈给</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人。</w:t>
      </w:r>
    </w:p>
    <w:p w14:paraId="0D10D389">
      <w:pPr>
        <w:keepNext w:val="0"/>
        <w:keepLines w:val="0"/>
        <w:pageBreakBefore w:val="0"/>
        <w:wordWrap/>
        <w:topLinePunct w:val="0"/>
        <w:bidi w:val="0"/>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w:t>
      </w:r>
      <w:r>
        <w:rPr>
          <w:rFonts w:hint="eastAsia" w:ascii="仿宋_GB2312" w:hAnsi="仿宋_GB2312" w:eastAsia="仿宋_GB2312" w:cs="仿宋_GB2312"/>
          <w:sz w:val="28"/>
          <w:szCs w:val="28"/>
          <w:lang w:val="en-US" w:eastAsia="zh-CN"/>
        </w:rPr>
        <w:t>其他要求</w:t>
      </w:r>
      <w:r>
        <w:rPr>
          <w:rFonts w:hint="eastAsia" w:ascii="仿宋_GB2312" w:hAnsi="仿宋_GB2312" w:eastAsia="仿宋_GB2312" w:cs="仿宋_GB2312"/>
          <w:sz w:val="28"/>
          <w:szCs w:val="28"/>
        </w:rPr>
        <w:t>：</w:t>
      </w:r>
    </w:p>
    <w:p w14:paraId="31C2EA67">
      <w:pPr>
        <w:keepNext w:val="0"/>
        <w:keepLines w:val="0"/>
        <w:pageBreakBefore w:val="0"/>
        <w:wordWrap/>
        <w:topLinePunct w:val="0"/>
        <w:bidi w:val="0"/>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（1）供应商不得将</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人委托的评审工作转交第三方完成。</w:t>
      </w:r>
    </w:p>
    <w:p w14:paraId="4809AF60">
      <w:pPr>
        <w:keepNext w:val="0"/>
        <w:keepLines w:val="0"/>
        <w:pageBreakBefore w:val="0"/>
        <w:wordWrap/>
        <w:topLinePunct w:val="0"/>
        <w:bidi w:val="0"/>
        <w:spacing w:line="5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（2）工程竣工结算报告的审查时间：如因非成交供应商原因，审核时间可以相应顺延，但需征得采购人的书面同意。</w:t>
      </w:r>
    </w:p>
    <w:p w14:paraId="447C5171">
      <w:pPr>
        <w:ind w:firstLine="56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val="en-US" w:eastAsia="zh-CN"/>
        </w:rPr>
        <w:t>单项工程成果文件，供应商需向采购人提供6份。</w:t>
      </w:r>
    </w:p>
    <w:p w14:paraId="3E9421E6">
      <w:pPr>
        <w:rPr>
          <w:rFonts w:hint="eastAsia" w:ascii="仿宋_GB2312" w:hAnsi="仿宋_GB2312" w:eastAsia="仿宋_GB2312" w:cs="仿宋_GB2312"/>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1" w:fontKey="{A56074AF-C1AE-440F-AC1D-FDC3528034D3}"/>
  </w:font>
  <w:font w:name="仿宋_GB2312">
    <w:panose1 w:val="02010609030101010101"/>
    <w:charset w:val="86"/>
    <w:family w:val="modern"/>
    <w:pitch w:val="default"/>
    <w:sig w:usb0="00000001" w:usb1="080E0000" w:usb2="00000000" w:usb3="00000000" w:csb0="00040000" w:csb1="00000000"/>
    <w:embedRegular r:id="rId2" w:fontKey="{17C002CB-C21A-42C8-AF7A-167EF20D91A1}"/>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C9DBA"/>
    <w:multiLevelType w:val="singleLevel"/>
    <w:tmpl w:val="80DC9D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mNzkxNTNiM2U0M2RiNTM1Yzg5NGRkYTE5Mjk3MDcifQ=="/>
  </w:docVars>
  <w:rsids>
    <w:rsidRoot w:val="00BD633A"/>
    <w:rsid w:val="000F3FAD"/>
    <w:rsid w:val="00163CFD"/>
    <w:rsid w:val="001720B8"/>
    <w:rsid w:val="006815B8"/>
    <w:rsid w:val="00BD633A"/>
    <w:rsid w:val="0DDC1B4D"/>
    <w:rsid w:val="12301ECD"/>
    <w:rsid w:val="145A7AF7"/>
    <w:rsid w:val="1B0E7032"/>
    <w:rsid w:val="1BFF0DF4"/>
    <w:rsid w:val="34E13D1B"/>
    <w:rsid w:val="428262E5"/>
    <w:rsid w:val="4BBC1BF8"/>
    <w:rsid w:val="58F5061C"/>
    <w:rsid w:val="754058B4"/>
    <w:rsid w:val="7E281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5"/>
    <w:qFormat/>
    <w:uiPriority w:val="0"/>
    <w:pPr>
      <w:keepNext/>
      <w:keepLines/>
      <w:adjustRightInd w:val="0"/>
      <w:spacing w:line="600" w:lineRule="exact"/>
      <w:ind w:firstLine="880" w:firstLineChars="200"/>
      <w:outlineLvl w:val="1"/>
    </w:pPr>
    <w:rPr>
      <w:rFonts w:ascii="Arial" w:hAnsi="Arial" w:eastAsia="楷体" w:cs="Arial"/>
      <w:snapToGrid w:val="0"/>
      <w:color w:val="000000"/>
      <w:kern w:val="0"/>
      <w:sz w:val="32"/>
      <w:szCs w:val="21"/>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99"/>
    <w:pPr>
      <w:jc w:val="left"/>
    </w:pPr>
  </w:style>
  <w:style w:type="paragraph" w:styleId="4">
    <w:name w:val="Body Text"/>
    <w:basedOn w:val="1"/>
    <w:next w:val="5"/>
    <w:qFormat/>
    <w:uiPriority w:val="0"/>
    <w:pPr>
      <w:spacing w:after="120"/>
    </w:pPr>
  </w:style>
  <w:style w:type="paragraph" w:styleId="5">
    <w:name w:val="Body Text 2"/>
    <w:basedOn w:val="1"/>
    <w:qFormat/>
    <w:uiPriority w:val="0"/>
    <w:pPr>
      <w:widowControl w:val="0"/>
      <w:spacing w:after="120" w:afterLines="0" w:afterAutospacing="0" w:line="480" w:lineRule="auto"/>
      <w:ind w:firstLine="640" w:firstLineChars="200"/>
      <w:jc w:val="left"/>
    </w:pPr>
    <w:rPr>
      <w:rFonts w:ascii="宋体" w:hAnsi="宋体" w:eastAsia="宋体" w:cs="宋体"/>
      <w:kern w:val="2"/>
      <w:sz w:val="28"/>
      <w:szCs w:val="24"/>
      <w:lang w:val="en-US" w:eastAsia="zh-CN" w:bidi="ar-SA"/>
    </w:rPr>
  </w:style>
  <w:style w:type="paragraph" w:styleId="6">
    <w:name w:val="Plain Text"/>
    <w:basedOn w:val="1"/>
    <w:qFormat/>
    <w:uiPriority w:val="99"/>
    <w:rPr>
      <w:rFonts w:ascii="宋体" w:hAnsi="Courier New" w:eastAsia="宋体"/>
      <w:kern w:val="2"/>
      <w:sz w:val="21"/>
    </w:rPr>
  </w:style>
  <w:style w:type="paragraph" w:styleId="7">
    <w:name w:val="footer"/>
    <w:basedOn w:val="1"/>
    <w:link w:val="14"/>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First Indent"/>
    <w:basedOn w:val="4"/>
    <w:next w:val="1"/>
    <w:qFormat/>
    <w:uiPriority w:val="0"/>
    <w:pPr>
      <w:ind w:firstLine="420" w:firstLineChars="100"/>
    </w:pPr>
  </w:style>
  <w:style w:type="paragraph" w:customStyle="1" w:styleId="12">
    <w:name w:val="Default"/>
    <w:next w:val="1"/>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13">
    <w:name w:val="页眉 Char"/>
    <w:basedOn w:val="11"/>
    <w:link w:val="8"/>
    <w:qFormat/>
    <w:uiPriority w:val="99"/>
    <w:rPr>
      <w:sz w:val="18"/>
      <w:szCs w:val="18"/>
    </w:rPr>
  </w:style>
  <w:style w:type="character" w:customStyle="1" w:styleId="14">
    <w:name w:val="页脚 Char"/>
    <w:basedOn w:val="11"/>
    <w:link w:val="7"/>
    <w:qFormat/>
    <w:uiPriority w:val="99"/>
    <w:rPr>
      <w:sz w:val="18"/>
      <w:szCs w:val="18"/>
    </w:rPr>
  </w:style>
  <w:style w:type="character" w:customStyle="1" w:styleId="15">
    <w:name w:val="标题 2 Char"/>
    <w:basedOn w:val="11"/>
    <w:link w:val="2"/>
    <w:qFormat/>
    <w:uiPriority w:val="0"/>
    <w:rPr>
      <w:rFonts w:ascii="Arial" w:hAnsi="Arial" w:eastAsia="楷体" w:cs="Arial"/>
      <w:snapToGrid w:val="0"/>
      <w:color w:val="000000"/>
      <w:kern w:val="0"/>
      <w:sz w:val="32"/>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4</Pages>
  <Words>1775</Words>
  <Characters>1843</Characters>
  <Lines>1</Lines>
  <Paragraphs>1</Paragraphs>
  <TotalTime>8</TotalTime>
  <ScaleCrop>false</ScaleCrop>
  <LinksUpToDate>false</LinksUpToDate>
  <CharactersWithSpaces>1844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2024-08-13T03:23:00Z</dcterms:created>
  <dc:creator>User</dc:creator>
  <cp:lastModifiedBy>粟米乙醇</cp:lastModifiedBy>
  <dcterms:modified xsi:type="dcterms:W3CDTF">2025-04-23T07:39:45Z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EEEE7ABEC72F470B9089056A1702D618_13</vt:lpwstr>
  </property>
  <property fmtid="{D5CDD505-2E9C-101B-9397-08002B2CF9AE}" pid="4" name="KSOTemplateDocerSaveRecord">
    <vt:lpwstr>eyJoZGlkIjoiMDM0YTQyOWFhMjYxMGFjOTcxYWQ5YzM2MzU1ZTc0NzgiLCJ1c2VySWQiOiI0NTMwODEzNzIifQ==</vt:lpwstr>
  </property>
</Properties>
</file>