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82"/>
      </w:tblGrid>
      <w:tr w14:paraId="6D3CD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5" w:hRule="atLeast"/>
        </w:trPr>
        <w:tc>
          <w:tcPr>
            <w:tcW w:w="10682" w:type="dxa"/>
          </w:tcPr>
          <w:p w14:paraId="6BFD9BC3">
            <w:pPr>
              <w:keepNext/>
              <w:widowControl/>
              <w:numPr>
                <w:ilvl w:val="0"/>
                <w:numId w:val="1"/>
              </w:numPr>
              <w:shd w:val="clear" w:color="auto" w:fill="FFFFFF"/>
              <w:autoSpaceDE w:val="0"/>
              <w:spacing w:before="120" w:after="120"/>
              <w:ind w:left="420" w:hanging="420"/>
              <w:rPr>
                <w:rFonts w:hint="eastAsia" w:ascii="仿宋" w:hAnsi="仿宋" w:eastAsia="仿宋" w:cs="仿宋"/>
                <w:b/>
                <w:color w:val="000000"/>
                <w:kern w:val="0"/>
                <w:sz w:val="28"/>
                <w:szCs w:val="28"/>
                <w:shd w:val="clear" w:color="auto" w:fill="FFFFFF"/>
              </w:rPr>
            </w:pPr>
            <w:bookmarkStart w:id="0" w:name="_GoBack"/>
            <w:r>
              <w:rPr>
                <w:rFonts w:hint="eastAsia" w:ascii="仿宋" w:hAnsi="仿宋" w:eastAsia="仿宋" w:cs="仿宋"/>
                <w:b/>
                <w:color w:val="000000"/>
                <w:kern w:val="0"/>
                <w:sz w:val="28"/>
                <w:szCs w:val="28"/>
                <w:shd w:val="clear" w:color="auto" w:fill="FFFFFF"/>
              </w:rPr>
              <w:t>采购内容</w:t>
            </w:r>
          </w:p>
          <w:tbl>
            <w:tblPr>
              <w:tblStyle w:val="9"/>
              <w:tblW w:w="92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964"/>
              <w:gridCol w:w="3380"/>
              <w:gridCol w:w="1860"/>
            </w:tblGrid>
            <w:tr w14:paraId="217F2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64" w:type="dxa"/>
                  <w:vAlign w:val="center"/>
                </w:tcPr>
                <w:p w14:paraId="727738E3">
                  <w:pPr>
                    <w:spacing w:line="360" w:lineRule="auto"/>
                    <w:jc w:val="center"/>
                    <w:rPr>
                      <w:rFonts w:hint="eastAsia" w:ascii="仿宋" w:hAnsi="仿宋" w:eastAsia="仿宋" w:cs="仿宋"/>
                      <w:sz w:val="24"/>
                    </w:rPr>
                  </w:pPr>
                  <w:r>
                    <w:rPr>
                      <w:rFonts w:hint="eastAsia" w:ascii="仿宋" w:hAnsi="仿宋" w:eastAsia="仿宋" w:cs="仿宋"/>
                      <w:sz w:val="24"/>
                    </w:rPr>
                    <w:t>合同包</w:t>
                  </w:r>
                </w:p>
              </w:tc>
              <w:tc>
                <w:tcPr>
                  <w:tcW w:w="3380" w:type="dxa"/>
                </w:tcPr>
                <w:p w14:paraId="62CE564C">
                  <w:pPr>
                    <w:widowControl/>
                    <w:spacing w:line="360" w:lineRule="auto"/>
                    <w:jc w:val="center"/>
                    <w:rPr>
                      <w:rFonts w:hint="eastAsia" w:ascii="仿宋" w:hAnsi="仿宋" w:eastAsia="仿宋" w:cs="仿宋"/>
                      <w:kern w:val="0"/>
                      <w:sz w:val="24"/>
                    </w:rPr>
                  </w:pPr>
                  <w:r>
                    <w:rPr>
                      <w:rFonts w:hint="eastAsia" w:ascii="仿宋" w:hAnsi="仿宋" w:eastAsia="仿宋" w:cs="仿宋"/>
                      <w:kern w:val="0"/>
                      <w:sz w:val="24"/>
                    </w:rPr>
                    <w:t>采购标的</w:t>
                  </w:r>
                </w:p>
              </w:tc>
              <w:tc>
                <w:tcPr>
                  <w:tcW w:w="1860" w:type="dxa"/>
                </w:tcPr>
                <w:p w14:paraId="20D188F0">
                  <w:pPr>
                    <w:widowControl/>
                    <w:spacing w:line="360" w:lineRule="auto"/>
                    <w:jc w:val="center"/>
                    <w:rPr>
                      <w:rFonts w:hint="eastAsia" w:ascii="仿宋" w:hAnsi="仿宋" w:eastAsia="仿宋" w:cs="仿宋"/>
                      <w:kern w:val="0"/>
                      <w:sz w:val="24"/>
                    </w:rPr>
                  </w:pPr>
                  <w:r>
                    <w:rPr>
                      <w:rFonts w:hint="eastAsia" w:ascii="仿宋" w:hAnsi="仿宋" w:eastAsia="仿宋" w:cs="仿宋"/>
                      <w:kern w:val="0"/>
                      <w:sz w:val="24"/>
                    </w:rPr>
                    <w:t>数量</w:t>
                  </w:r>
                </w:p>
              </w:tc>
            </w:tr>
            <w:tr w14:paraId="1904B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64" w:type="dxa"/>
                  <w:vAlign w:val="center"/>
                </w:tcPr>
                <w:p w14:paraId="25C1D57D">
                  <w:pPr>
                    <w:spacing w:line="360" w:lineRule="auto"/>
                    <w:jc w:val="center"/>
                    <w:rPr>
                      <w:rFonts w:hint="eastAsia" w:ascii="仿宋" w:hAnsi="仿宋" w:eastAsia="仿宋" w:cs="仿宋"/>
                      <w:sz w:val="24"/>
                    </w:rPr>
                  </w:pPr>
                  <w:r>
                    <w:rPr>
                      <w:rFonts w:hint="eastAsia" w:ascii="仿宋" w:hAnsi="仿宋" w:eastAsia="仿宋" w:cs="仿宋"/>
                      <w:sz w:val="24"/>
                    </w:rPr>
                    <w:t>1</w:t>
                  </w:r>
                </w:p>
              </w:tc>
              <w:tc>
                <w:tcPr>
                  <w:tcW w:w="3380" w:type="dxa"/>
                </w:tcPr>
                <w:p w14:paraId="1827E159">
                  <w:pPr>
                    <w:widowControl/>
                    <w:spacing w:line="360" w:lineRule="auto"/>
                    <w:jc w:val="center"/>
                    <w:rPr>
                      <w:rFonts w:hint="eastAsia" w:ascii="仿宋" w:hAnsi="仿宋" w:eastAsia="仿宋" w:cs="仿宋"/>
                      <w:kern w:val="0"/>
                      <w:sz w:val="24"/>
                    </w:rPr>
                  </w:pPr>
                  <w:r>
                    <w:rPr>
                      <w:rFonts w:hint="eastAsia" w:ascii="仿宋" w:hAnsi="仿宋" w:eastAsia="仿宋" w:cs="仿宋"/>
                      <w:kern w:val="0"/>
                      <w:sz w:val="24"/>
                    </w:rPr>
                    <w:t>互联网医院升级</w:t>
                  </w:r>
                </w:p>
              </w:tc>
              <w:tc>
                <w:tcPr>
                  <w:tcW w:w="1860" w:type="dxa"/>
                  <w:vAlign w:val="center"/>
                </w:tcPr>
                <w:p w14:paraId="4CFCCB01">
                  <w:pPr>
                    <w:widowControl/>
                    <w:spacing w:line="360" w:lineRule="auto"/>
                    <w:jc w:val="center"/>
                    <w:rPr>
                      <w:rFonts w:hint="eastAsia" w:ascii="仿宋" w:hAnsi="仿宋" w:eastAsia="仿宋" w:cs="仿宋"/>
                      <w:kern w:val="0"/>
                      <w:sz w:val="24"/>
                    </w:rPr>
                  </w:pPr>
                  <w:r>
                    <w:rPr>
                      <w:rFonts w:hint="eastAsia" w:ascii="仿宋" w:hAnsi="仿宋" w:eastAsia="仿宋" w:cs="仿宋"/>
                      <w:kern w:val="0"/>
                      <w:sz w:val="24"/>
                    </w:rPr>
                    <w:t>1项</w:t>
                  </w:r>
                </w:p>
              </w:tc>
            </w:tr>
          </w:tbl>
          <w:p w14:paraId="46A4963A">
            <w:pPr>
              <w:keepNext/>
              <w:widowControl/>
              <w:numPr>
                <w:ilvl w:val="0"/>
                <w:numId w:val="1"/>
              </w:numPr>
              <w:shd w:val="clear" w:color="auto" w:fill="FFFFFF"/>
              <w:autoSpaceDE w:val="0"/>
              <w:spacing w:before="120" w:after="120"/>
              <w:ind w:left="420" w:hanging="420"/>
              <w:rPr>
                <w:rFonts w:hint="eastAsia" w:ascii="仿宋" w:hAnsi="仿宋" w:eastAsia="仿宋" w:cs="仿宋"/>
                <w:b/>
                <w:color w:val="000000"/>
                <w:kern w:val="0"/>
                <w:sz w:val="28"/>
                <w:szCs w:val="28"/>
                <w:shd w:val="clear" w:color="auto" w:fill="FFFFFF"/>
              </w:rPr>
            </w:pPr>
            <w:r>
              <w:rPr>
                <w:rFonts w:hint="eastAsia" w:ascii="仿宋" w:hAnsi="仿宋" w:eastAsia="仿宋" w:cs="仿宋"/>
                <w:b/>
                <w:color w:val="000000"/>
                <w:kern w:val="0"/>
                <w:sz w:val="28"/>
                <w:szCs w:val="28"/>
                <w:shd w:val="clear" w:color="auto" w:fill="FFFFFF"/>
              </w:rPr>
              <w:t>总体要求</w:t>
            </w:r>
          </w:p>
          <w:p w14:paraId="088503AC">
            <w:pPr>
              <w:ind w:right="-1" w:firstLine="480" w:firstLineChars="200"/>
              <w:rPr>
                <w:rFonts w:hint="eastAsia" w:ascii="仿宋" w:hAnsi="仿宋" w:eastAsia="仿宋" w:cs="仿宋"/>
                <w:color w:val="000000"/>
                <w:sz w:val="24"/>
              </w:rPr>
            </w:pPr>
            <w:r>
              <w:rPr>
                <w:rFonts w:hint="eastAsia" w:ascii="仿宋" w:hAnsi="仿宋" w:eastAsia="仿宋" w:cs="仿宋"/>
                <w:bCs/>
                <w:color w:val="000000"/>
                <w:sz w:val="24"/>
              </w:rPr>
              <w:t>在医院原有的互联网医院基础上升级患者端、医生端等功能，并针对桃源院区、北院院区、星湖门诊等智慧医院小程序功能进行优化和调整</w:t>
            </w:r>
            <w:r>
              <w:rPr>
                <w:rFonts w:hint="eastAsia" w:ascii="仿宋" w:hAnsi="仿宋" w:eastAsia="仿宋" w:cs="仿宋"/>
                <w:color w:val="000000"/>
                <w:sz w:val="24"/>
              </w:rPr>
              <w:t>。</w:t>
            </w:r>
          </w:p>
          <w:p w14:paraId="71EAA244">
            <w:pPr>
              <w:keepNext/>
              <w:widowControl/>
              <w:numPr>
                <w:ilvl w:val="0"/>
                <w:numId w:val="1"/>
              </w:numPr>
              <w:shd w:val="clear" w:color="auto" w:fill="FFFFFF"/>
              <w:autoSpaceDE w:val="0"/>
              <w:spacing w:before="120" w:after="120"/>
              <w:ind w:left="420" w:hanging="420"/>
              <w:rPr>
                <w:rFonts w:hint="eastAsia" w:ascii="仿宋" w:hAnsi="仿宋" w:eastAsia="仿宋" w:cs="仿宋"/>
                <w:b/>
                <w:color w:val="000000"/>
                <w:kern w:val="0"/>
                <w:sz w:val="28"/>
                <w:szCs w:val="28"/>
                <w:shd w:val="clear" w:color="auto" w:fill="FFFFFF"/>
              </w:rPr>
            </w:pPr>
            <w:r>
              <w:rPr>
                <w:rFonts w:hint="eastAsia" w:ascii="仿宋" w:hAnsi="仿宋" w:eastAsia="仿宋" w:cs="仿宋"/>
                <w:b/>
                <w:color w:val="000000"/>
                <w:kern w:val="0"/>
                <w:sz w:val="28"/>
                <w:szCs w:val="28"/>
                <w:shd w:val="clear" w:color="auto" w:fill="FFFFFF"/>
              </w:rPr>
              <w:t>具体要求</w:t>
            </w:r>
          </w:p>
          <w:tbl>
            <w:tblPr>
              <w:tblStyle w:val="9"/>
              <w:tblW w:w="9995" w:type="dxa"/>
              <w:tblInd w:w="93" w:type="dxa"/>
              <w:tblLayout w:type="autofit"/>
              <w:tblCellMar>
                <w:top w:w="0" w:type="dxa"/>
                <w:left w:w="108" w:type="dxa"/>
                <w:bottom w:w="0" w:type="dxa"/>
                <w:right w:w="108" w:type="dxa"/>
              </w:tblCellMar>
            </w:tblPr>
            <w:tblGrid>
              <w:gridCol w:w="437"/>
              <w:gridCol w:w="647"/>
              <w:gridCol w:w="812"/>
              <w:gridCol w:w="8099"/>
            </w:tblGrid>
            <w:tr w14:paraId="11DBAB8B">
              <w:tblPrEx>
                <w:tblCellMar>
                  <w:top w:w="0" w:type="dxa"/>
                  <w:left w:w="108" w:type="dxa"/>
                  <w:bottom w:w="0" w:type="dxa"/>
                  <w:right w:w="108" w:type="dxa"/>
                </w:tblCellMar>
              </w:tblPrEx>
              <w:trPr>
                <w:trHeight w:val="825" w:hRule="atLeast"/>
              </w:trPr>
              <w:tc>
                <w:tcPr>
                  <w:tcW w:w="437"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02521BAD">
                  <w:pPr>
                    <w:widowControl/>
                    <w:jc w:val="center"/>
                    <w:textAlignment w:val="center"/>
                    <w:rPr>
                      <w:rFonts w:hint="eastAsia" w:ascii="华文仿宋" w:hAnsi="华文仿宋" w:eastAsia="华文仿宋" w:cs="宋体"/>
                      <w:b/>
                      <w:bCs/>
                      <w:szCs w:val="21"/>
                    </w:rPr>
                  </w:pPr>
                  <w:r>
                    <w:rPr>
                      <w:rFonts w:hint="eastAsia" w:ascii="华文仿宋" w:hAnsi="华文仿宋" w:eastAsia="华文仿宋" w:cs="宋体"/>
                      <w:b/>
                      <w:bCs/>
                      <w:kern w:val="0"/>
                      <w:szCs w:val="21"/>
                    </w:rPr>
                    <w:t>序号</w:t>
                  </w:r>
                </w:p>
              </w:tc>
              <w:tc>
                <w:tcPr>
                  <w:tcW w:w="647" w:type="dxa"/>
                  <w:tcBorders>
                    <w:top w:val="single" w:color="000000" w:sz="4" w:space="0"/>
                    <w:left w:val="single" w:color="000000" w:sz="4" w:space="0"/>
                    <w:bottom w:val="single" w:color="auto" w:sz="4" w:space="0"/>
                    <w:right w:val="single" w:color="000000" w:sz="4" w:space="0"/>
                  </w:tcBorders>
                  <w:shd w:val="clear" w:color="auto" w:fill="BFBFBF"/>
                  <w:vAlign w:val="center"/>
                </w:tcPr>
                <w:p w14:paraId="22FC6A88">
                  <w:pPr>
                    <w:widowControl/>
                    <w:jc w:val="center"/>
                    <w:textAlignment w:val="center"/>
                    <w:rPr>
                      <w:rFonts w:hint="eastAsia" w:ascii="华文仿宋" w:hAnsi="华文仿宋" w:eastAsia="华文仿宋" w:cs="宋体"/>
                      <w:b/>
                      <w:bCs/>
                      <w:szCs w:val="21"/>
                    </w:rPr>
                  </w:pPr>
                  <w:r>
                    <w:rPr>
                      <w:rFonts w:hint="eastAsia" w:ascii="华文仿宋" w:hAnsi="华文仿宋" w:eastAsia="华文仿宋" w:cs="宋体"/>
                      <w:b/>
                      <w:bCs/>
                      <w:szCs w:val="21"/>
                    </w:rPr>
                    <w:t>项目</w:t>
                  </w:r>
                </w:p>
              </w:tc>
              <w:tc>
                <w:tcPr>
                  <w:tcW w:w="812"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488F9D1A">
                  <w:pPr>
                    <w:widowControl/>
                    <w:jc w:val="center"/>
                    <w:textAlignment w:val="center"/>
                    <w:rPr>
                      <w:rFonts w:hint="eastAsia" w:ascii="华文仿宋" w:hAnsi="华文仿宋" w:eastAsia="华文仿宋" w:cs="宋体"/>
                      <w:b/>
                      <w:bCs/>
                      <w:szCs w:val="21"/>
                    </w:rPr>
                  </w:pPr>
                  <w:r>
                    <w:rPr>
                      <w:rFonts w:hint="eastAsia" w:ascii="华文仿宋" w:hAnsi="华文仿宋" w:eastAsia="华文仿宋" w:cs="宋体"/>
                      <w:b/>
                      <w:bCs/>
                      <w:kern w:val="0"/>
                      <w:szCs w:val="21"/>
                    </w:rPr>
                    <w:t>功能模块</w:t>
                  </w:r>
                </w:p>
              </w:tc>
              <w:tc>
                <w:tcPr>
                  <w:tcW w:w="8099"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488ADA0B">
                  <w:pPr>
                    <w:widowControl/>
                    <w:jc w:val="center"/>
                    <w:textAlignment w:val="center"/>
                    <w:rPr>
                      <w:rFonts w:hint="eastAsia" w:ascii="华文仿宋" w:hAnsi="华文仿宋" w:eastAsia="华文仿宋" w:cs="宋体"/>
                      <w:b/>
                      <w:bCs/>
                      <w:szCs w:val="21"/>
                    </w:rPr>
                  </w:pPr>
                  <w:r>
                    <w:rPr>
                      <w:rFonts w:hint="eastAsia" w:ascii="华文仿宋" w:hAnsi="华文仿宋" w:eastAsia="华文仿宋" w:cs="宋体"/>
                      <w:b/>
                      <w:bCs/>
                      <w:kern w:val="0"/>
                      <w:szCs w:val="21"/>
                    </w:rPr>
                    <w:t>参数要求</w:t>
                  </w:r>
                </w:p>
              </w:tc>
            </w:tr>
            <w:tr w14:paraId="5726D4AB">
              <w:tblPrEx>
                <w:tblCellMar>
                  <w:top w:w="0" w:type="dxa"/>
                  <w:left w:w="108" w:type="dxa"/>
                  <w:bottom w:w="0" w:type="dxa"/>
                  <w:right w:w="108" w:type="dxa"/>
                </w:tblCellMar>
              </w:tblPrEx>
              <w:trPr>
                <w:trHeight w:val="810" w:hRule="atLeast"/>
              </w:trPr>
              <w:tc>
                <w:tcPr>
                  <w:tcW w:w="437" w:type="dxa"/>
                  <w:tcBorders>
                    <w:top w:val="single" w:color="000000" w:sz="4" w:space="0"/>
                    <w:left w:val="single" w:color="000000" w:sz="4" w:space="0"/>
                    <w:bottom w:val="single" w:color="000000" w:sz="4" w:space="0"/>
                    <w:right w:val="single" w:color="auto" w:sz="4" w:space="0"/>
                  </w:tcBorders>
                  <w:shd w:val="clear" w:color="auto" w:fill="auto"/>
                  <w:vAlign w:val="center"/>
                </w:tcPr>
                <w:p w14:paraId="3350BB47">
                  <w:pPr>
                    <w:widowControl/>
                    <w:jc w:val="center"/>
                    <w:textAlignment w:val="center"/>
                    <w:rPr>
                      <w:rFonts w:hint="eastAsia" w:ascii="宋体" w:hAnsi="宋体" w:eastAsia="宋体" w:cs="宋体"/>
                      <w:sz w:val="22"/>
                      <w:szCs w:val="22"/>
                    </w:rPr>
                  </w:pPr>
                  <w:r>
                    <w:rPr>
                      <w:rFonts w:ascii="宋体" w:hAnsi="宋体" w:eastAsia="宋体" w:cs="宋体"/>
                      <w:sz w:val="22"/>
                      <w:szCs w:val="22"/>
                    </w:rPr>
                    <w:t>1</w:t>
                  </w:r>
                </w:p>
              </w:tc>
              <w:tc>
                <w:tcPr>
                  <w:tcW w:w="647" w:type="dxa"/>
                  <w:vMerge w:val="restart"/>
                  <w:tcBorders>
                    <w:left w:val="single" w:color="auto" w:sz="4" w:space="0"/>
                    <w:right w:val="single" w:color="auto" w:sz="4" w:space="0"/>
                  </w:tcBorders>
                  <w:shd w:val="clear" w:color="auto" w:fill="auto"/>
                  <w:vAlign w:val="center"/>
                </w:tcPr>
                <w:p w14:paraId="3B2D6D15">
                  <w:pPr>
                    <w:jc w:val="center"/>
                    <w:textAlignment w:val="center"/>
                    <w:rPr>
                      <w:rFonts w:hint="eastAsia" w:ascii="宋体" w:hAnsi="宋体" w:eastAsia="宋体" w:cs="宋体"/>
                      <w:sz w:val="22"/>
                      <w:szCs w:val="22"/>
                    </w:rPr>
                  </w:pPr>
                  <w:r>
                    <w:rPr>
                      <w:rFonts w:hint="eastAsia" w:ascii="Cambria" w:hAnsi="Cambria" w:eastAsia="华文仿宋" w:cs="Times New Roman"/>
                      <w:bCs/>
                      <w:kern w:val="0"/>
                      <w:szCs w:val="21"/>
                    </w:rPr>
                    <w:t>互联网医院升级</w:t>
                  </w:r>
                </w:p>
              </w:tc>
              <w:tc>
                <w:tcPr>
                  <w:tcW w:w="812" w:type="dxa"/>
                  <w:tcBorders>
                    <w:top w:val="single" w:color="000000" w:sz="4" w:space="0"/>
                    <w:left w:val="single" w:color="auto" w:sz="4" w:space="0"/>
                    <w:bottom w:val="single" w:color="000000" w:sz="4" w:space="0"/>
                    <w:right w:val="single" w:color="000000" w:sz="4" w:space="0"/>
                  </w:tcBorders>
                  <w:shd w:val="clear" w:color="auto" w:fill="auto"/>
                  <w:vAlign w:val="center"/>
                </w:tcPr>
                <w:p w14:paraId="58BE93BF">
                  <w:pPr>
                    <w:widowControl/>
                    <w:jc w:val="center"/>
                    <w:textAlignment w:val="center"/>
                    <w:rPr>
                      <w:rFonts w:ascii="Cambria" w:hAnsi="Cambria" w:eastAsia="华文仿宋" w:cs="Times New Roman"/>
                      <w:bCs/>
                      <w:kern w:val="0"/>
                      <w:szCs w:val="21"/>
                    </w:rPr>
                  </w:pPr>
                  <w:r>
                    <w:rPr>
                      <w:rFonts w:hint="eastAsia" w:ascii="宋体" w:hAnsi="宋体" w:eastAsia="宋体" w:cs="宋体"/>
                      <w:kern w:val="0"/>
                      <w:szCs w:val="21"/>
                    </w:rPr>
                    <w:t>▲</w:t>
                  </w:r>
                  <w:r>
                    <w:rPr>
                      <w:rFonts w:hint="eastAsia" w:ascii="Cambria" w:hAnsi="Cambria" w:eastAsia="华文仿宋" w:cs="Times New Roman"/>
                      <w:bCs/>
                      <w:kern w:val="0"/>
                      <w:szCs w:val="21"/>
                    </w:rPr>
                    <w:t>患者端</w:t>
                  </w:r>
                </w:p>
              </w:tc>
              <w:tc>
                <w:tcPr>
                  <w:tcW w:w="8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6ED6A">
                  <w:pPr>
                    <w:widowControl/>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在医院原有的互联网医院患者端功能基础上优化改造以下功能：</w:t>
                  </w:r>
                </w:p>
                <w:p w14:paraId="303ECBFB">
                  <w:pPr>
                    <w:widowControl/>
                    <w:numPr>
                      <w:ilvl w:val="0"/>
                      <w:numId w:val="2"/>
                    </w:numPr>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优化改造互联网医院线上处方支付及院外取药功能，支持患者查看互联网医院线上处方单内容，确认处方后可自行选择药房后进行线上支付。</w:t>
                  </w:r>
                </w:p>
                <w:p w14:paraId="7424392B">
                  <w:pPr>
                    <w:widowControl/>
                    <w:numPr>
                      <w:ilvl w:val="0"/>
                      <w:numId w:val="2"/>
                    </w:numPr>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支付方式包括但不限于与药店、第三方平台等对接支付；支付完成后与院内或第三方平台对接实现处方流转；</w:t>
                  </w:r>
                </w:p>
                <w:p w14:paraId="2CB2106C">
                  <w:pPr>
                    <w:widowControl/>
                    <w:numPr>
                      <w:ilvl w:val="0"/>
                      <w:numId w:val="2"/>
                    </w:numPr>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支持患者查询互联网医院历史支付凭据，并可使用支付凭据线下取药</w:t>
                  </w:r>
                  <w:r>
                    <w:rPr>
                      <w:rFonts w:hint="eastAsia" w:ascii="Cambria" w:hAnsi="Cambria" w:eastAsia="华文仿宋" w:cs="Times New Roman"/>
                      <w:bCs/>
                      <w:kern w:val="0"/>
                      <w:szCs w:val="21"/>
                      <w:lang w:eastAsia="zh-Hans"/>
                    </w:rPr>
                    <w:t>。</w:t>
                  </w:r>
                </w:p>
                <w:p w14:paraId="462CC4FE">
                  <w:pPr>
                    <w:widowControl/>
                    <w:numPr>
                      <w:ilvl w:val="0"/>
                      <w:numId w:val="2"/>
                    </w:numPr>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支持患者在互联网医院查看线上开具检验、检查、治疗单项目、金额、注意事项等内容。</w:t>
                  </w:r>
                </w:p>
                <w:p w14:paraId="3E8E223C">
                  <w:pPr>
                    <w:widowControl/>
                    <w:numPr>
                      <w:ilvl w:val="0"/>
                      <w:numId w:val="2"/>
                    </w:numPr>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支持患者在互联网医院上进行线上检验、检查、治疗单等医技费用的支付。</w:t>
                  </w:r>
                </w:p>
                <w:p w14:paraId="6DC42917">
                  <w:pPr>
                    <w:widowControl/>
                    <w:numPr>
                      <w:ilvl w:val="0"/>
                      <w:numId w:val="2"/>
                    </w:numPr>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支持互联网医院处方费用与医技费用合并或分开支付。</w:t>
                  </w:r>
                </w:p>
                <w:p w14:paraId="19695AA2">
                  <w:pPr>
                    <w:widowControl/>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5、支持患者在完成互联网医院医技费用支付后使用院内医技预约平台进行预约。</w:t>
                  </w:r>
                </w:p>
                <w:p w14:paraId="79C6B551">
                  <w:pPr>
                    <w:widowControl/>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6、支持患者在互联网医院线上申请退费，并查看退费流程、状态。</w:t>
                  </w:r>
                </w:p>
              </w:tc>
            </w:tr>
            <w:tr w14:paraId="5ED40273">
              <w:tblPrEx>
                <w:tblCellMar>
                  <w:top w:w="0" w:type="dxa"/>
                  <w:left w:w="108" w:type="dxa"/>
                  <w:bottom w:w="0" w:type="dxa"/>
                  <w:right w:w="108" w:type="dxa"/>
                </w:tblCellMar>
              </w:tblPrEx>
              <w:trPr>
                <w:trHeight w:val="700" w:hRule="atLeast"/>
              </w:trPr>
              <w:tc>
                <w:tcPr>
                  <w:tcW w:w="437" w:type="dxa"/>
                  <w:tcBorders>
                    <w:top w:val="single" w:color="000000" w:sz="4" w:space="0"/>
                    <w:left w:val="single" w:color="000000" w:sz="4" w:space="0"/>
                    <w:bottom w:val="single" w:color="000000" w:sz="4" w:space="0"/>
                    <w:right w:val="single" w:color="auto" w:sz="4" w:space="0"/>
                  </w:tcBorders>
                  <w:shd w:val="clear" w:color="auto" w:fill="auto"/>
                  <w:vAlign w:val="center"/>
                </w:tcPr>
                <w:p w14:paraId="07B981DC">
                  <w:pPr>
                    <w:widowControl/>
                    <w:jc w:val="center"/>
                    <w:textAlignment w:val="center"/>
                    <w:rPr>
                      <w:rFonts w:hint="eastAsia" w:ascii="宋体" w:hAnsi="宋体" w:eastAsia="宋体" w:cs="宋体"/>
                      <w:sz w:val="22"/>
                      <w:szCs w:val="22"/>
                    </w:rPr>
                  </w:pPr>
                  <w:r>
                    <w:rPr>
                      <w:rFonts w:ascii="宋体" w:hAnsi="宋体" w:eastAsia="宋体" w:cs="宋体"/>
                      <w:sz w:val="22"/>
                      <w:szCs w:val="22"/>
                    </w:rPr>
                    <w:t>2</w:t>
                  </w:r>
                </w:p>
              </w:tc>
              <w:tc>
                <w:tcPr>
                  <w:tcW w:w="647" w:type="dxa"/>
                  <w:vMerge w:val="continue"/>
                  <w:tcBorders>
                    <w:left w:val="single" w:color="auto" w:sz="4" w:space="0"/>
                    <w:right w:val="single" w:color="auto" w:sz="4" w:space="0"/>
                  </w:tcBorders>
                  <w:shd w:val="clear" w:color="auto" w:fill="auto"/>
                  <w:vAlign w:val="center"/>
                </w:tcPr>
                <w:p w14:paraId="72B79150">
                  <w:pPr>
                    <w:widowControl/>
                    <w:jc w:val="center"/>
                    <w:textAlignment w:val="center"/>
                    <w:rPr>
                      <w:rFonts w:hint="eastAsia" w:ascii="宋体" w:hAnsi="宋体" w:eastAsia="宋体" w:cs="宋体"/>
                      <w:sz w:val="22"/>
                      <w:szCs w:val="22"/>
                    </w:rPr>
                  </w:pPr>
                </w:p>
              </w:tc>
              <w:tc>
                <w:tcPr>
                  <w:tcW w:w="812" w:type="dxa"/>
                  <w:tcBorders>
                    <w:top w:val="single" w:color="000000" w:sz="4" w:space="0"/>
                    <w:left w:val="single" w:color="auto" w:sz="4" w:space="0"/>
                    <w:bottom w:val="single" w:color="000000" w:sz="4" w:space="0"/>
                    <w:right w:val="single" w:color="000000" w:sz="4" w:space="0"/>
                  </w:tcBorders>
                  <w:shd w:val="clear" w:color="auto" w:fill="auto"/>
                  <w:vAlign w:val="center"/>
                </w:tcPr>
                <w:p w14:paraId="074E9357">
                  <w:pPr>
                    <w:widowControl/>
                    <w:jc w:val="center"/>
                    <w:textAlignment w:val="center"/>
                    <w:rPr>
                      <w:rFonts w:ascii="Cambria" w:hAnsi="Cambria" w:eastAsia="华文仿宋" w:cs="Times New Roman"/>
                      <w:bCs/>
                      <w:kern w:val="0"/>
                      <w:szCs w:val="21"/>
                    </w:rPr>
                  </w:pPr>
                  <w:r>
                    <w:rPr>
                      <w:rFonts w:hint="eastAsia" w:ascii="宋体" w:hAnsi="宋体" w:eastAsia="宋体" w:cs="宋体"/>
                      <w:kern w:val="0"/>
                      <w:szCs w:val="21"/>
                    </w:rPr>
                    <w:t>▲</w:t>
                  </w:r>
                  <w:r>
                    <w:rPr>
                      <w:rFonts w:hint="eastAsia" w:ascii="Cambria" w:hAnsi="Cambria" w:eastAsia="华文仿宋" w:cs="Times New Roman"/>
                      <w:bCs/>
                      <w:kern w:val="0"/>
                      <w:szCs w:val="21"/>
                    </w:rPr>
                    <w:t>医师端</w:t>
                  </w:r>
                </w:p>
              </w:tc>
              <w:tc>
                <w:tcPr>
                  <w:tcW w:w="8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72C05">
                  <w:pPr>
                    <w:widowControl/>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在医院原有的互联网医院医师端功能基础上优化改造以下功能：</w:t>
                  </w:r>
                </w:p>
                <w:p w14:paraId="32E0BD98">
                  <w:pPr>
                    <w:widowControl/>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1、优化改造在线上开具、修改、删除、作废检验、检查、治疗单的功能。</w:t>
                  </w:r>
                </w:p>
                <w:p w14:paraId="72D63AC5">
                  <w:pPr>
                    <w:widowControl/>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2、支持医师设置个性化常用检验、检查、治疗项目、套餐，并在开单的时候可以选择常用项目、套餐。</w:t>
                  </w:r>
                </w:p>
                <w:p w14:paraId="1F998D81">
                  <w:pPr>
                    <w:widowControl/>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3、支持医师通过检索选择医技项目。</w:t>
                  </w:r>
                </w:p>
                <w:p w14:paraId="60D6641B">
                  <w:pPr>
                    <w:widowControl/>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4、支持开具处方单时获取院内或第三方药品字典，如药品名称、单位、规格、厂家、药品说明书等信息。</w:t>
                  </w:r>
                </w:p>
                <w:p w14:paraId="1BCB3C46">
                  <w:pPr>
                    <w:pStyle w:val="2"/>
                    <w:rPr>
                      <w:rFonts w:ascii="Cambria" w:hAnsi="Cambria" w:eastAsia="华文仿宋" w:cs="Times New Roman"/>
                      <w:bCs/>
                      <w:kern w:val="0"/>
                      <w:szCs w:val="21"/>
                    </w:rPr>
                  </w:pPr>
                  <w:r>
                    <w:rPr>
                      <w:rFonts w:hint="eastAsia" w:ascii="Cambria" w:hAnsi="Cambria" w:eastAsia="华文仿宋" w:cs="Times New Roman"/>
                      <w:bCs/>
                      <w:kern w:val="0"/>
                      <w:szCs w:val="21"/>
                    </w:rPr>
                    <w:t>5、支持医师查看已开具的处方及医技项目支付情况或状态。</w:t>
                  </w:r>
                </w:p>
              </w:tc>
            </w:tr>
            <w:tr w14:paraId="048AC656">
              <w:tblPrEx>
                <w:tblCellMar>
                  <w:top w:w="0" w:type="dxa"/>
                  <w:left w:w="108" w:type="dxa"/>
                  <w:bottom w:w="0" w:type="dxa"/>
                  <w:right w:w="108" w:type="dxa"/>
                </w:tblCellMar>
              </w:tblPrEx>
              <w:trPr>
                <w:trHeight w:val="700" w:hRule="atLeast"/>
              </w:trPr>
              <w:tc>
                <w:tcPr>
                  <w:tcW w:w="437" w:type="dxa"/>
                  <w:tcBorders>
                    <w:top w:val="single" w:color="000000" w:sz="4" w:space="0"/>
                    <w:left w:val="single" w:color="000000" w:sz="4" w:space="0"/>
                    <w:bottom w:val="single" w:color="000000" w:sz="4" w:space="0"/>
                    <w:right w:val="single" w:color="auto" w:sz="4" w:space="0"/>
                  </w:tcBorders>
                  <w:shd w:val="clear" w:color="auto" w:fill="auto"/>
                  <w:vAlign w:val="center"/>
                </w:tcPr>
                <w:p w14:paraId="066ED863">
                  <w:pPr>
                    <w:widowControl/>
                    <w:jc w:val="center"/>
                    <w:textAlignment w:val="center"/>
                    <w:rPr>
                      <w:rFonts w:hint="eastAsia" w:ascii="宋体" w:hAnsi="宋体" w:eastAsia="宋体" w:cs="宋体"/>
                      <w:kern w:val="0"/>
                      <w:sz w:val="22"/>
                      <w:szCs w:val="22"/>
                    </w:rPr>
                  </w:pPr>
                  <w:r>
                    <w:rPr>
                      <w:rFonts w:hint="eastAsia" w:ascii="宋体" w:hAnsi="宋体" w:eastAsia="宋体" w:cs="宋体"/>
                      <w:kern w:val="0"/>
                      <w:sz w:val="22"/>
                      <w:szCs w:val="22"/>
                    </w:rPr>
                    <w:t>3</w:t>
                  </w:r>
                </w:p>
              </w:tc>
              <w:tc>
                <w:tcPr>
                  <w:tcW w:w="647" w:type="dxa"/>
                  <w:vMerge w:val="continue"/>
                  <w:tcBorders>
                    <w:left w:val="single" w:color="auto" w:sz="4" w:space="0"/>
                    <w:right w:val="single" w:color="auto" w:sz="4" w:space="0"/>
                  </w:tcBorders>
                  <w:shd w:val="clear" w:color="auto" w:fill="auto"/>
                  <w:vAlign w:val="center"/>
                </w:tcPr>
                <w:p w14:paraId="657002F0">
                  <w:pPr>
                    <w:widowControl/>
                    <w:jc w:val="center"/>
                    <w:textAlignment w:val="center"/>
                    <w:rPr>
                      <w:rFonts w:hint="eastAsia" w:ascii="宋体" w:hAnsi="宋体" w:eastAsia="宋体" w:cs="宋体"/>
                      <w:sz w:val="22"/>
                      <w:szCs w:val="22"/>
                    </w:rPr>
                  </w:pPr>
                </w:p>
              </w:tc>
              <w:tc>
                <w:tcPr>
                  <w:tcW w:w="812" w:type="dxa"/>
                  <w:tcBorders>
                    <w:top w:val="single" w:color="000000" w:sz="4" w:space="0"/>
                    <w:left w:val="single" w:color="auto" w:sz="4" w:space="0"/>
                    <w:bottom w:val="single" w:color="000000" w:sz="4" w:space="0"/>
                    <w:right w:val="single" w:color="000000" w:sz="4" w:space="0"/>
                  </w:tcBorders>
                  <w:shd w:val="clear" w:color="auto" w:fill="auto"/>
                  <w:vAlign w:val="center"/>
                </w:tcPr>
                <w:p w14:paraId="152D9B24">
                  <w:pPr>
                    <w:widowControl/>
                    <w:jc w:val="center"/>
                    <w:textAlignment w:val="center"/>
                    <w:rPr>
                      <w:rFonts w:ascii="Cambria" w:hAnsi="Cambria" w:eastAsia="华文仿宋" w:cs="Times New Roman"/>
                      <w:bCs/>
                      <w:color w:val="000000" w:themeColor="text1"/>
                      <w:kern w:val="0"/>
                      <w:szCs w:val="21"/>
                      <w14:textFill>
                        <w14:solidFill>
                          <w14:schemeClr w14:val="tx1"/>
                        </w14:solidFill>
                      </w14:textFill>
                    </w:rPr>
                  </w:pPr>
                  <w:r>
                    <w:rPr>
                      <w:rFonts w:hint="eastAsia" w:ascii="Cambria" w:hAnsi="Cambria" w:eastAsia="华文仿宋" w:cs="Times New Roman"/>
                      <w:bCs/>
                      <w:kern w:val="0"/>
                      <w:szCs w:val="21"/>
                    </w:rPr>
                    <w:t>互联网医院运营管理</w:t>
                  </w:r>
                </w:p>
              </w:tc>
              <w:tc>
                <w:tcPr>
                  <w:tcW w:w="8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5616A">
                  <w:pPr>
                    <w:widowControl/>
                    <w:textAlignment w:val="center"/>
                    <w:rPr>
                      <w:rFonts w:ascii="Cambria" w:hAnsi="Cambria" w:eastAsia="华文仿宋" w:cs="Times New Roman"/>
                      <w:bCs/>
                      <w:color w:val="000000" w:themeColor="text1"/>
                      <w:kern w:val="0"/>
                      <w:szCs w:val="21"/>
                      <w14:textFill>
                        <w14:solidFill>
                          <w14:schemeClr w14:val="tx1"/>
                        </w14:solidFill>
                      </w14:textFill>
                    </w:rPr>
                  </w:pPr>
                  <w:r>
                    <w:rPr>
                      <w:rFonts w:hint="eastAsia" w:ascii="Cambria" w:hAnsi="Cambria" w:eastAsia="华文仿宋" w:cs="Times New Roman"/>
                      <w:bCs/>
                      <w:color w:val="000000" w:themeColor="text1"/>
                      <w:kern w:val="0"/>
                      <w:szCs w:val="21"/>
                      <w14:textFill>
                        <w14:solidFill>
                          <w14:schemeClr w14:val="tx1"/>
                        </w14:solidFill>
                      </w14:textFill>
                    </w:rPr>
                    <w:t>在医院原有的互联网医院运营管理后台基础上优化改造以下功能：</w:t>
                  </w:r>
                </w:p>
                <w:p w14:paraId="75A6682E">
                  <w:pPr>
                    <w:widowControl/>
                    <w:textAlignment w:val="center"/>
                    <w:rPr>
                      <w:rFonts w:hint="eastAsia"/>
                    </w:rPr>
                  </w:pPr>
                  <w:r>
                    <w:rPr>
                      <w:rFonts w:hint="eastAsia" w:ascii="Cambria" w:hAnsi="Cambria" w:eastAsia="华文仿宋" w:cs="Times New Roman"/>
                      <w:bCs/>
                      <w:color w:val="000000" w:themeColor="text1"/>
                      <w:kern w:val="0"/>
                      <w:szCs w:val="21"/>
                      <w14:textFill>
                        <w14:solidFill>
                          <w14:schemeClr w14:val="tx1"/>
                        </w14:solidFill>
                      </w14:textFill>
                    </w:rPr>
                    <w:t>1、数据统计：数据概况、医生接诊量统计、科室接诊量统计、电子处方数量统计、审方统计等；</w:t>
                  </w:r>
                  <w:r>
                    <w:rPr>
                      <w:rFonts w:hint="eastAsia" w:ascii="Cambria" w:hAnsi="Cambria" w:eastAsia="华文仿宋" w:cs="Times New Roman"/>
                      <w:bCs/>
                      <w:color w:val="000000" w:themeColor="text1"/>
                      <w:kern w:val="0"/>
                      <w:szCs w:val="21"/>
                      <w14:textFill>
                        <w14:solidFill>
                          <w14:schemeClr w14:val="tx1"/>
                        </w14:solidFill>
                      </w14:textFill>
                    </w:rPr>
                    <w:br w:type="textWrapping"/>
                  </w:r>
                  <w:r>
                    <w:rPr>
                      <w:rFonts w:hint="eastAsia" w:ascii="Cambria" w:hAnsi="Cambria" w:eastAsia="华文仿宋" w:cs="Times New Roman"/>
                      <w:bCs/>
                      <w:color w:val="000000" w:themeColor="text1"/>
                      <w:kern w:val="0"/>
                      <w:szCs w:val="21"/>
                      <w14:textFill>
                        <w14:solidFill>
                          <w14:schemeClr w14:val="tx1"/>
                        </w14:solidFill>
                      </w14:textFill>
                    </w:rPr>
                    <w:t>2、咨询监督：可分别对未接诊、接诊中、已结束、预约中的订单进行监督；</w:t>
                  </w:r>
                  <w:r>
                    <w:rPr>
                      <w:rFonts w:hint="eastAsia" w:ascii="Cambria" w:hAnsi="Cambria" w:eastAsia="华文仿宋" w:cs="Times New Roman"/>
                      <w:bCs/>
                      <w:color w:val="000000" w:themeColor="text1"/>
                      <w:kern w:val="0"/>
                      <w:szCs w:val="21"/>
                      <w14:textFill>
                        <w14:solidFill>
                          <w14:schemeClr w14:val="tx1"/>
                        </w14:solidFill>
                      </w14:textFill>
                    </w:rPr>
                    <w:br w:type="textWrapping"/>
                  </w:r>
                  <w:r>
                    <w:rPr>
                      <w:rFonts w:hint="eastAsia" w:ascii="Cambria" w:hAnsi="Cambria" w:eastAsia="华文仿宋" w:cs="Times New Roman"/>
                      <w:bCs/>
                      <w:color w:val="000000" w:themeColor="text1"/>
                      <w:kern w:val="0"/>
                      <w:szCs w:val="21"/>
                      <w14:textFill>
                        <w14:solidFill>
                          <w14:schemeClr w14:val="tx1"/>
                        </w14:solidFill>
                      </w14:textFill>
                    </w:rPr>
                    <w:t>3、评价管理：以订单的维度发起评价，并在后台查看评价，医生评价是以医生为维度进行评价，包括医生姓名、订单总数、总分数、实际平均分等数据，点击查看详情可以查看评价的详情；</w:t>
                  </w:r>
                </w:p>
                <w:p w14:paraId="6B486094">
                  <w:pPr>
                    <w:pStyle w:val="2"/>
                    <w:rPr>
                      <w:rFonts w:ascii="Cambria" w:hAnsi="Cambria" w:eastAsia="华文仿宋" w:cs="Times New Roman"/>
                      <w:bCs/>
                      <w:color w:val="000000" w:themeColor="text1"/>
                      <w:kern w:val="0"/>
                      <w:szCs w:val="21"/>
                      <w14:textFill>
                        <w14:solidFill>
                          <w14:schemeClr w14:val="tx1"/>
                        </w14:solidFill>
                      </w14:textFill>
                    </w:rPr>
                  </w:pPr>
                  <w:r>
                    <w:rPr>
                      <w:rFonts w:hint="eastAsia" w:ascii="Cambria" w:hAnsi="Cambria" w:eastAsia="华文仿宋" w:cs="Times New Roman"/>
                      <w:bCs/>
                      <w:color w:val="000000" w:themeColor="text1"/>
                      <w:kern w:val="0"/>
                      <w:szCs w:val="21"/>
                      <w14:textFill>
                        <w14:solidFill>
                          <w14:schemeClr w14:val="tx1"/>
                        </w14:solidFill>
                      </w14:textFill>
                    </w:rPr>
                    <w:t>4、优化排班：支持按照医生前一天的排班情况选择时间段（一周或一个月）进行复制。</w:t>
                  </w:r>
                </w:p>
                <w:p w14:paraId="1096CEDE">
                  <w:pPr>
                    <w:pStyle w:val="2"/>
                    <w:rPr>
                      <w:rFonts w:hint="eastAsia" w:ascii="Cambria" w:hAnsi="Cambria" w:eastAsia="华文仿宋"/>
                      <w:bCs/>
                      <w:color w:val="000000" w:themeColor="text1"/>
                      <w:szCs w:val="21"/>
                      <w14:textFill>
                        <w14:solidFill>
                          <w14:schemeClr w14:val="tx1"/>
                        </w14:solidFill>
                      </w14:textFill>
                    </w:rPr>
                  </w:pPr>
                  <w:r>
                    <w:rPr>
                      <w:rFonts w:hint="eastAsia" w:ascii="Cambria" w:hAnsi="Cambria" w:eastAsia="华文仿宋"/>
                      <w:bCs/>
                      <w:color w:val="000000" w:themeColor="text1"/>
                      <w:szCs w:val="21"/>
                      <w14:textFill>
                        <w14:solidFill>
                          <w14:schemeClr w14:val="tx1"/>
                        </w14:solidFill>
                      </w14:textFill>
                    </w:rPr>
                    <w:t>5、优化平台页面显示，支持以微信小程序、H5等手机兼容模式访问。</w:t>
                  </w:r>
                </w:p>
              </w:tc>
            </w:tr>
            <w:tr w14:paraId="51711A6F">
              <w:tblPrEx>
                <w:tblCellMar>
                  <w:top w:w="0" w:type="dxa"/>
                  <w:left w:w="108" w:type="dxa"/>
                  <w:bottom w:w="0" w:type="dxa"/>
                  <w:right w:w="108" w:type="dxa"/>
                </w:tblCellMar>
              </w:tblPrEx>
              <w:trPr>
                <w:trHeight w:val="700" w:hRule="atLeast"/>
              </w:trPr>
              <w:tc>
                <w:tcPr>
                  <w:tcW w:w="437" w:type="dxa"/>
                  <w:tcBorders>
                    <w:top w:val="single" w:color="000000" w:sz="4" w:space="0"/>
                    <w:left w:val="single" w:color="000000" w:sz="4" w:space="0"/>
                    <w:bottom w:val="single" w:color="000000" w:sz="4" w:space="0"/>
                    <w:right w:val="single" w:color="auto" w:sz="4" w:space="0"/>
                  </w:tcBorders>
                  <w:shd w:val="clear" w:color="auto" w:fill="auto"/>
                  <w:vAlign w:val="center"/>
                </w:tcPr>
                <w:p w14:paraId="5AE780BF">
                  <w:pPr>
                    <w:widowControl/>
                    <w:jc w:val="center"/>
                    <w:textAlignment w:val="center"/>
                    <w:rPr>
                      <w:rFonts w:hint="eastAsia" w:ascii="宋体" w:hAnsi="宋体" w:eastAsia="宋体" w:cs="宋体"/>
                      <w:kern w:val="0"/>
                      <w:sz w:val="22"/>
                      <w:szCs w:val="22"/>
                    </w:rPr>
                  </w:pPr>
                  <w:r>
                    <w:rPr>
                      <w:rFonts w:hint="eastAsia" w:ascii="宋体" w:hAnsi="宋体" w:eastAsia="宋体" w:cs="宋体"/>
                      <w:kern w:val="0"/>
                      <w:sz w:val="22"/>
                      <w:szCs w:val="22"/>
                    </w:rPr>
                    <w:t>4</w:t>
                  </w:r>
                </w:p>
              </w:tc>
              <w:tc>
                <w:tcPr>
                  <w:tcW w:w="647" w:type="dxa"/>
                  <w:vMerge w:val="continue"/>
                  <w:tcBorders>
                    <w:left w:val="single" w:color="auto" w:sz="4" w:space="0"/>
                    <w:right w:val="single" w:color="auto" w:sz="4" w:space="0"/>
                  </w:tcBorders>
                  <w:shd w:val="clear" w:color="auto" w:fill="auto"/>
                  <w:vAlign w:val="center"/>
                </w:tcPr>
                <w:p w14:paraId="7E42FF5E">
                  <w:pPr>
                    <w:widowControl/>
                    <w:jc w:val="center"/>
                    <w:textAlignment w:val="center"/>
                    <w:rPr>
                      <w:rFonts w:hint="eastAsia" w:ascii="宋体" w:hAnsi="宋体" w:eastAsia="宋体" w:cs="宋体"/>
                      <w:sz w:val="22"/>
                      <w:szCs w:val="22"/>
                    </w:rPr>
                  </w:pPr>
                </w:p>
              </w:tc>
              <w:tc>
                <w:tcPr>
                  <w:tcW w:w="812" w:type="dxa"/>
                  <w:tcBorders>
                    <w:top w:val="single" w:color="000000" w:sz="4" w:space="0"/>
                    <w:left w:val="single" w:color="auto" w:sz="4" w:space="0"/>
                    <w:bottom w:val="single" w:color="000000" w:sz="4" w:space="0"/>
                    <w:right w:val="single" w:color="000000" w:sz="4" w:space="0"/>
                  </w:tcBorders>
                  <w:shd w:val="clear" w:color="auto" w:fill="auto"/>
                  <w:vAlign w:val="center"/>
                </w:tcPr>
                <w:p w14:paraId="6B4BAD23">
                  <w:pPr>
                    <w:widowControl/>
                    <w:jc w:val="center"/>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基础对账管理</w:t>
                  </w:r>
                </w:p>
              </w:tc>
              <w:tc>
                <w:tcPr>
                  <w:tcW w:w="8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DF872">
                  <w:pPr>
                    <w:widowControl/>
                    <w:textAlignment w:val="center"/>
                    <w:rPr>
                      <w:rFonts w:ascii="Cambria" w:hAnsi="Cambria" w:eastAsia="华文仿宋" w:cs="Times New Roman"/>
                      <w:bCs/>
                      <w:kern w:val="0"/>
                      <w:szCs w:val="21"/>
                      <w:lang w:eastAsia="zh-Hans"/>
                    </w:rPr>
                  </w:pPr>
                  <w:r>
                    <w:rPr>
                      <w:rFonts w:hint="eastAsia" w:ascii="Cambria" w:hAnsi="Cambria" w:eastAsia="华文仿宋" w:cs="Times New Roman"/>
                      <w:bCs/>
                      <w:kern w:val="0"/>
                      <w:szCs w:val="21"/>
                    </w:rPr>
                    <w:t>1、基础支付渠道对账：支持互联网医院线上支付渠道对账，自动生成对账总结果及差错单列表；</w:t>
                  </w:r>
                  <w:r>
                    <w:rPr>
                      <w:rFonts w:hint="eastAsia" w:ascii="Cambria" w:hAnsi="Cambria" w:eastAsia="华文仿宋" w:cs="Times New Roman"/>
                      <w:bCs/>
                      <w:kern w:val="0"/>
                      <w:szCs w:val="21"/>
                    </w:rPr>
                    <w:br w:type="textWrapping"/>
                  </w:r>
                  <w:r>
                    <w:rPr>
                      <w:rFonts w:hint="eastAsia" w:ascii="Cambria" w:hAnsi="Cambria" w:eastAsia="华文仿宋" w:cs="Times New Roman"/>
                      <w:bCs/>
                      <w:kern w:val="0"/>
                      <w:szCs w:val="21"/>
                    </w:rPr>
                    <w:t>2、对账列表查询：支持展示互联网医院线上支付渠道对账列表，可根据时间、支付渠道进行查询，可下载对账报表；</w:t>
                  </w:r>
                  <w:r>
                    <w:rPr>
                      <w:rFonts w:hint="eastAsia" w:ascii="Cambria" w:hAnsi="Cambria" w:eastAsia="华文仿宋" w:cs="Times New Roman"/>
                      <w:bCs/>
                      <w:kern w:val="0"/>
                      <w:szCs w:val="21"/>
                    </w:rPr>
                    <w:br w:type="textWrapping"/>
                  </w:r>
                  <w:r>
                    <w:rPr>
                      <w:rFonts w:hint="eastAsia" w:ascii="Cambria" w:hAnsi="Cambria" w:eastAsia="华文仿宋" w:cs="Times New Roman"/>
                      <w:bCs/>
                      <w:kern w:val="0"/>
                      <w:szCs w:val="21"/>
                    </w:rPr>
                    <w:t>3、对账日志查询：支持查询互联网医院线上支付渠道对账日志，可根据时间、支付渠道进行查询；</w:t>
                  </w:r>
                  <w:r>
                    <w:rPr>
                      <w:rFonts w:hint="eastAsia" w:ascii="Cambria" w:hAnsi="Cambria" w:eastAsia="华文仿宋" w:cs="Times New Roman"/>
                      <w:bCs/>
                      <w:kern w:val="0"/>
                      <w:szCs w:val="21"/>
                    </w:rPr>
                    <w:br w:type="textWrapping"/>
                  </w:r>
                  <w:r>
                    <w:rPr>
                      <w:rFonts w:hint="eastAsia" w:ascii="Cambria" w:hAnsi="Cambria" w:eastAsia="华文仿宋" w:cs="Times New Roman"/>
                      <w:bCs/>
                      <w:kern w:val="0"/>
                      <w:szCs w:val="21"/>
                    </w:rPr>
                    <w:t>4、待审批退款订单处理：支持对发起退款订单进行退款审核，可批量审批退款；</w:t>
                  </w:r>
                </w:p>
              </w:tc>
            </w:tr>
            <w:tr w14:paraId="080ABA20">
              <w:tblPrEx>
                <w:tblCellMar>
                  <w:top w:w="0" w:type="dxa"/>
                  <w:left w:w="108" w:type="dxa"/>
                  <w:bottom w:w="0" w:type="dxa"/>
                  <w:right w:w="108" w:type="dxa"/>
                </w:tblCellMar>
              </w:tblPrEx>
              <w:trPr>
                <w:trHeight w:val="700" w:hRule="atLeast"/>
              </w:trPr>
              <w:tc>
                <w:tcPr>
                  <w:tcW w:w="437" w:type="dxa"/>
                  <w:tcBorders>
                    <w:top w:val="single" w:color="000000" w:sz="4" w:space="0"/>
                    <w:left w:val="single" w:color="000000" w:sz="4" w:space="0"/>
                    <w:bottom w:val="single" w:color="000000" w:sz="4" w:space="0"/>
                    <w:right w:val="single" w:color="auto" w:sz="4" w:space="0"/>
                  </w:tcBorders>
                  <w:shd w:val="clear" w:color="auto" w:fill="auto"/>
                  <w:vAlign w:val="center"/>
                </w:tcPr>
                <w:p w14:paraId="7B0FF92D">
                  <w:pPr>
                    <w:widowControl/>
                    <w:jc w:val="center"/>
                    <w:textAlignment w:val="center"/>
                    <w:rPr>
                      <w:rFonts w:hint="eastAsia" w:ascii="宋体" w:hAnsi="宋体" w:eastAsia="宋体" w:cs="宋体"/>
                      <w:kern w:val="0"/>
                      <w:sz w:val="22"/>
                      <w:szCs w:val="22"/>
                    </w:rPr>
                  </w:pPr>
                  <w:r>
                    <w:rPr>
                      <w:rFonts w:hint="eastAsia" w:ascii="宋体" w:hAnsi="宋体" w:eastAsia="宋体" w:cs="宋体"/>
                      <w:kern w:val="0"/>
                      <w:sz w:val="22"/>
                      <w:szCs w:val="22"/>
                    </w:rPr>
                    <w:t>5</w:t>
                  </w:r>
                </w:p>
              </w:tc>
              <w:tc>
                <w:tcPr>
                  <w:tcW w:w="647" w:type="dxa"/>
                  <w:vMerge w:val="continue"/>
                  <w:tcBorders>
                    <w:left w:val="single" w:color="auto" w:sz="4" w:space="0"/>
                    <w:right w:val="single" w:color="auto" w:sz="4" w:space="0"/>
                  </w:tcBorders>
                  <w:shd w:val="clear" w:color="auto" w:fill="auto"/>
                  <w:vAlign w:val="center"/>
                </w:tcPr>
                <w:p w14:paraId="2ED71FEC">
                  <w:pPr>
                    <w:widowControl/>
                    <w:jc w:val="center"/>
                    <w:textAlignment w:val="center"/>
                    <w:rPr>
                      <w:rFonts w:hint="eastAsia" w:ascii="宋体" w:hAnsi="宋体" w:eastAsia="宋体" w:cs="宋体"/>
                      <w:sz w:val="22"/>
                      <w:szCs w:val="22"/>
                    </w:rPr>
                  </w:pPr>
                </w:p>
              </w:tc>
              <w:tc>
                <w:tcPr>
                  <w:tcW w:w="812" w:type="dxa"/>
                  <w:tcBorders>
                    <w:top w:val="single" w:color="000000" w:sz="4" w:space="0"/>
                    <w:left w:val="single" w:color="auto" w:sz="4" w:space="0"/>
                    <w:bottom w:val="single" w:color="000000" w:sz="4" w:space="0"/>
                    <w:right w:val="single" w:color="000000" w:sz="4" w:space="0"/>
                  </w:tcBorders>
                  <w:shd w:val="clear" w:color="auto" w:fill="auto"/>
                  <w:vAlign w:val="center"/>
                </w:tcPr>
                <w:p w14:paraId="0DF05BDB">
                  <w:pPr>
                    <w:widowControl/>
                    <w:jc w:val="center"/>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处方流转平台对接</w:t>
                  </w:r>
                </w:p>
              </w:tc>
              <w:tc>
                <w:tcPr>
                  <w:tcW w:w="8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0A019">
                  <w:pPr>
                    <w:widowControl/>
                    <w:textAlignment w:val="center"/>
                    <w:rPr>
                      <w:rFonts w:ascii="Cambria" w:hAnsi="Cambria" w:eastAsia="华文仿宋" w:cs="Times New Roman"/>
                      <w:bCs/>
                      <w:kern w:val="0"/>
                      <w:szCs w:val="21"/>
                      <w:lang w:eastAsia="zh-Hans"/>
                    </w:rPr>
                  </w:pPr>
                  <w:r>
                    <w:rPr>
                      <w:rFonts w:hint="eastAsia" w:ascii="Cambria" w:hAnsi="Cambria" w:eastAsia="华文仿宋" w:cs="Times New Roman"/>
                      <w:bCs/>
                      <w:kern w:val="0"/>
                      <w:szCs w:val="21"/>
                    </w:rPr>
                    <w:t>对接院内已建设的处方流转平台，实现处方流转。</w:t>
                  </w:r>
                </w:p>
              </w:tc>
            </w:tr>
            <w:tr w14:paraId="51E2A5FE">
              <w:tblPrEx>
                <w:tblCellMar>
                  <w:top w:w="0" w:type="dxa"/>
                  <w:left w:w="108" w:type="dxa"/>
                  <w:bottom w:w="0" w:type="dxa"/>
                  <w:right w:w="108" w:type="dxa"/>
                </w:tblCellMar>
              </w:tblPrEx>
              <w:trPr>
                <w:trHeight w:val="700" w:hRule="atLeast"/>
              </w:trPr>
              <w:tc>
                <w:tcPr>
                  <w:tcW w:w="437" w:type="dxa"/>
                  <w:tcBorders>
                    <w:top w:val="single" w:color="000000" w:sz="4" w:space="0"/>
                    <w:left w:val="single" w:color="000000" w:sz="4" w:space="0"/>
                    <w:bottom w:val="single" w:color="000000" w:sz="4" w:space="0"/>
                    <w:right w:val="single" w:color="auto" w:sz="4" w:space="0"/>
                  </w:tcBorders>
                  <w:shd w:val="clear" w:color="auto" w:fill="auto"/>
                  <w:vAlign w:val="center"/>
                </w:tcPr>
                <w:p w14:paraId="1E930557">
                  <w:pPr>
                    <w:widowControl/>
                    <w:jc w:val="center"/>
                    <w:textAlignment w:val="center"/>
                    <w:rPr>
                      <w:rFonts w:hint="eastAsia" w:ascii="宋体" w:hAnsi="宋体" w:eastAsia="宋体" w:cs="宋体"/>
                      <w:kern w:val="0"/>
                      <w:sz w:val="22"/>
                      <w:szCs w:val="22"/>
                    </w:rPr>
                  </w:pPr>
                  <w:r>
                    <w:rPr>
                      <w:rFonts w:hint="eastAsia" w:ascii="宋体" w:hAnsi="宋体" w:eastAsia="宋体" w:cs="宋体"/>
                      <w:kern w:val="0"/>
                      <w:sz w:val="22"/>
                      <w:szCs w:val="22"/>
                    </w:rPr>
                    <w:t>6</w:t>
                  </w:r>
                </w:p>
              </w:tc>
              <w:tc>
                <w:tcPr>
                  <w:tcW w:w="647" w:type="dxa"/>
                  <w:vMerge w:val="continue"/>
                  <w:tcBorders>
                    <w:left w:val="single" w:color="auto" w:sz="4" w:space="0"/>
                    <w:right w:val="single" w:color="auto" w:sz="4" w:space="0"/>
                  </w:tcBorders>
                  <w:shd w:val="clear" w:color="auto" w:fill="auto"/>
                  <w:vAlign w:val="center"/>
                </w:tcPr>
                <w:p w14:paraId="0940986D">
                  <w:pPr>
                    <w:widowControl/>
                    <w:jc w:val="center"/>
                    <w:textAlignment w:val="center"/>
                    <w:rPr>
                      <w:rFonts w:hint="eastAsia" w:ascii="宋体" w:hAnsi="宋体" w:eastAsia="宋体" w:cs="宋体"/>
                      <w:sz w:val="22"/>
                      <w:szCs w:val="22"/>
                    </w:rPr>
                  </w:pPr>
                </w:p>
              </w:tc>
              <w:tc>
                <w:tcPr>
                  <w:tcW w:w="812" w:type="dxa"/>
                  <w:tcBorders>
                    <w:top w:val="single" w:color="000000" w:sz="4" w:space="0"/>
                    <w:left w:val="single" w:color="auto" w:sz="4" w:space="0"/>
                    <w:bottom w:val="single" w:color="000000" w:sz="4" w:space="0"/>
                    <w:right w:val="single" w:color="000000" w:sz="4" w:space="0"/>
                  </w:tcBorders>
                  <w:shd w:val="clear" w:color="auto" w:fill="auto"/>
                  <w:vAlign w:val="center"/>
                </w:tcPr>
                <w:p w14:paraId="0E243B75">
                  <w:pPr>
                    <w:widowControl/>
                    <w:jc w:val="center"/>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监管平台对接优化</w:t>
                  </w:r>
                </w:p>
              </w:tc>
              <w:tc>
                <w:tcPr>
                  <w:tcW w:w="8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9B147">
                  <w:pPr>
                    <w:widowControl/>
                    <w:textAlignment w:val="center"/>
                    <w:rPr>
                      <w:rFonts w:ascii="Cambria" w:hAnsi="Cambria" w:eastAsia="华文仿宋" w:cs="Times New Roman"/>
                      <w:bCs/>
                      <w:kern w:val="0"/>
                      <w:szCs w:val="21"/>
                      <w:lang w:eastAsia="zh-Hans"/>
                    </w:rPr>
                  </w:pPr>
                  <w:r>
                    <w:rPr>
                      <w:rFonts w:hint="eastAsia" w:ascii="Cambria" w:hAnsi="Cambria" w:eastAsia="华文仿宋" w:cs="Times New Roman"/>
                      <w:bCs/>
                      <w:kern w:val="0"/>
                      <w:szCs w:val="21"/>
                    </w:rPr>
                    <w:t>与自治区互联网医院监管平台对接，支持按照监管平台要求上报数据。</w:t>
                  </w:r>
                </w:p>
              </w:tc>
            </w:tr>
            <w:tr w14:paraId="49E6B7E2">
              <w:tblPrEx>
                <w:tblCellMar>
                  <w:top w:w="0" w:type="dxa"/>
                  <w:left w:w="108" w:type="dxa"/>
                  <w:bottom w:w="0" w:type="dxa"/>
                  <w:right w:w="108" w:type="dxa"/>
                </w:tblCellMar>
              </w:tblPrEx>
              <w:trPr>
                <w:trHeight w:val="700" w:hRule="atLeast"/>
              </w:trPr>
              <w:tc>
                <w:tcPr>
                  <w:tcW w:w="437" w:type="dxa"/>
                  <w:tcBorders>
                    <w:top w:val="single" w:color="000000" w:sz="4" w:space="0"/>
                    <w:left w:val="single" w:color="000000" w:sz="4" w:space="0"/>
                    <w:bottom w:val="single" w:color="000000" w:sz="4" w:space="0"/>
                    <w:right w:val="single" w:color="auto" w:sz="4" w:space="0"/>
                  </w:tcBorders>
                  <w:shd w:val="clear" w:color="auto" w:fill="auto"/>
                  <w:vAlign w:val="center"/>
                </w:tcPr>
                <w:p w14:paraId="7F06D9C3">
                  <w:pPr>
                    <w:widowControl/>
                    <w:jc w:val="center"/>
                    <w:textAlignment w:val="center"/>
                    <w:rPr>
                      <w:rFonts w:hint="eastAsia" w:ascii="宋体" w:hAnsi="宋体" w:eastAsia="宋体" w:cs="宋体"/>
                      <w:kern w:val="0"/>
                      <w:sz w:val="22"/>
                      <w:szCs w:val="22"/>
                    </w:rPr>
                  </w:pPr>
                  <w:r>
                    <w:rPr>
                      <w:rFonts w:hint="eastAsia" w:ascii="宋体" w:hAnsi="宋体" w:eastAsia="宋体" w:cs="宋体"/>
                      <w:kern w:val="0"/>
                      <w:sz w:val="22"/>
                      <w:szCs w:val="22"/>
                    </w:rPr>
                    <w:t>7</w:t>
                  </w:r>
                </w:p>
              </w:tc>
              <w:tc>
                <w:tcPr>
                  <w:tcW w:w="647" w:type="dxa"/>
                  <w:vMerge w:val="continue"/>
                  <w:tcBorders>
                    <w:left w:val="single" w:color="auto" w:sz="4" w:space="0"/>
                    <w:right w:val="single" w:color="auto" w:sz="4" w:space="0"/>
                  </w:tcBorders>
                  <w:shd w:val="clear" w:color="auto" w:fill="auto"/>
                  <w:vAlign w:val="center"/>
                </w:tcPr>
                <w:p w14:paraId="44DCFB89">
                  <w:pPr>
                    <w:widowControl/>
                    <w:jc w:val="center"/>
                    <w:textAlignment w:val="center"/>
                    <w:rPr>
                      <w:rFonts w:hint="eastAsia" w:ascii="宋体" w:hAnsi="宋体" w:eastAsia="宋体" w:cs="宋体"/>
                      <w:sz w:val="22"/>
                      <w:szCs w:val="22"/>
                    </w:rPr>
                  </w:pPr>
                </w:p>
              </w:tc>
              <w:tc>
                <w:tcPr>
                  <w:tcW w:w="812" w:type="dxa"/>
                  <w:tcBorders>
                    <w:top w:val="single" w:color="000000" w:sz="4" w:space="0"/>
                    <w:left w:val="single" w:color="auto" w:sz="4" w:space="0"/>
                    <w:bottom w:val="single" w:color="000000" w:sz="4" w:space="0"/>
                    <w:right w:val="single" w:color="000000" w:sz="4" w:space="0"/>
                  </w:tcBorders>
                  <w:shd w:val="clear" w:color="auto" w:fill="auto"/>
                  <w:vAlign w:val="center"/>
                </w:tcPr>
                <w:p w14:paraId="6CAA8D9C">
                  <w:pPr>
                    <w:widowControl/>
                    <w:jc w:val="center"/>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候补挂号升级</w:t>
                  </w:r>
                </w:p>
              </w:tc>
              <w:tc>
                <w:tcPr>
                  <w:tcW w:w="8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78784">
                  <w:pPr>
                    <w:widowControl/>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改造候补挂号功能，升级候补规则，提升患者候补成功率。</w:t>
                  </w:r>
                </w:p>
              </w:tc>
            </w:tr>
            <w:tr w14:paraId="0134EEEF">
              <w:tblPrEx>
                <w:tblCellMar>
                  <w:top w:w="0" w:type="dxa"/>
                  <w:left w:w="108" w:type="dxa"/>
                  <w:bottom w:w="0" w:type="dxa"/>
                  <w:right w:w="108" w:type="dxa"/>
                </w:tblCellMar>
              </w:tblPrEx>
              <w:trPr>
                <w:trHeight w:val="700" w:hRule="atLeast"/>
              </w:trPr>
              <w:tc>
                <w:tcPr>
                  <w:tcW w:w="437" w:type="dxa"/>
                  <w:tcBorders>
                    <w:top w:val="single" w:color="000000" w:sz="4" w:space="0"/>
                    <w:left w:val="single" w:color="000000" w:sz="4" w:space="0"/>
                    <w:bottom w:val="single" w:color="000000" w:sz="4" w:space="0"/>
                    <w:right w:val="single" w:color="auto" w:sz="4" w:space="0"/>
                  </w:tcBorders>
                  <w:shd w:val="clear" w:color="auto" w:fill="auto"/>
                  <w:vAlign w:val="center"/>
                </w:tcPr>
                <w:p w14:paraId="33292647">
                  <w:pPr>
                    <w:widowControl/>
                    <w:jc w:val="center"/>
                    <w:textAlignment w:val="center"/>
                    <w:rPr>
                      <w:rFonts w:hint="eastAsia" w:ascii="宋体" w:hAnsi="宋体" w:eastAsia="宋体" w:cs="宋体"/>
                      <w:kern w:val="0"/>
                      <w:sz w:val="22"/>
                      <w:szCs w:val="22"/>
                    </w:rPr>
                  </w:pPr>
                  <w:r>
                    <w:rPr>
                      <w:rFonts w:hint="eastAsia" w:ascii="宋体" w:hAnsi="宋体" w:eastAsia="宋体" w:cs="宋体"/>
                      <w:kern w:val="0"/>
                      <w:sz w:val="22"/>
                      <w:szCs w:val="22"/>
                    </w:rPr>
                    <w:t>8</w:t>
                  </w:r>
                </w:p>
              </w:tc>
              <w:tc>
                <w:tcPr>
                  <w:tcW w:w="647" w:type="dxa"/>
                  <w:vMerge w:val="continue"/>
                  <w:tcBorders>
                    <w:left w:val="single" w:color="auto" w:sz="4" w:space="0"/>
                    <w:right w:val="single" w:color="auto" w:sz="4" w:space="0"/>
                  </w:tcBorders>
                  <w:shd w:val="clear" w:color="auto" w:fill="auto"/>
                  <w:vAlign w:val="center"/>
                </w:tcPr>
                <w:p w14:paraId="4CAE4F14">
                  <w:pPr>
                    <w:widowControl/>
                    <w:jc w:val="center"/>
                    <w:textAlignment w:val="center"/>
                    <w:rPr>
                      <w:rFonts w:hint="eastAsia" w:ascii="宋体" w:hAnsi="宋体" w:eastAsia="宋体" w:cs="宋体"/>
                      <w:sz w:val="22"/>
                      <w:szCs w:val="22"/>
                    </w:rPr>
                  </w:pPr>
                </w:p>
              </w:tc>
              <w:tc>
                <w:tcPr>
                  <w:tcW w:w="812" w:type="dxa"/>
                  <w:tcBorders>
                    <w:top w:val="single" w:color="000000" w:sz="4" w:space="0"/>
                    <w:left w:val="single" w:color="auto" w:sz="4" w:space="0"/>
                    <w:bottom w:val="single" w:color="000000" w:sz="4" w:space="0"/>
                    <w:right w:val="single" w:color="000000" w:sz="4" w:space="0"/>
                  </w:tcBorders>
                  <w:shd w:val="clear" w:color="auto" w:fill="auto"/>
                  <w:vAlign w:val="center"/>
                </w:tcPr>
                <w:p w14:paraId="561C9193">
                  <w:pPr>
                    <w:widowControl/>
                    <w:jc w:val="center"/>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检查检验自助申请升级</w:t>
                  </w:r>
                </w:p>
              </w:tc>
              <w:tc>
                <w:tcPr>
                  <w:tcW w:w="8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D12C0">
                  <w:pPr>
                    <w:widowControl/>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1、增加检查自助开单。</w:t>
                  </w:r>
                </w:p>
                <w:p w14:paraId="2109900B">
                  <w:pPr>
                    <w:widowControl/>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2、优化展示检验检查患者自助开单须知条款内容，提示患者自助开单注意事项。</w:t>
                  </w:r>
                </w:p>
                <w:p w14:paraId="06E7AF18">
                  <w:pPr>
                    <w:widowControl/>
                    <w:textAlignment w:val="center"/>
                    <w:rPr>
                      <w:rFonts w:ascii="Cambria" w:hAnsi="Cambria" w:eastAsia="华文仿宋" w:cs="Times New Roman"/>
                      <w:bCs/>
                      <w:kern w:val="0"/>
                      <w:szCs w:val="21"/>
                      <w:lang w:eastAsia="zh-Hans"/>
                    </w:rPr>
                  </w:pPr>
                  <w:r>
                    <w:rPr>
                      <w:rFonts w:hint="eastAsia" w:ascii="Cambria" w:hAnsi="Cambria" w:eastAsia="华文仿宋" w:cs="Times New Roman"/>
                      <w:bCs/>
                      <w:kern w:val="0"/>
                      <w:szCs w:val="21"/>
                    </w:rPr>
                    <w:t>3、优化患者自助开单前填写就诊目的界面，如该项目非特殊检查检验可无需填写。</w:t>
                  </w:r>
                </w:p>
              </w:tc>
            </w:tr>
            <w:tr w14:paraId="012B79EC">
              <w:tblPrEx>
                <w:tblCellMar>
                  <w:top w:w="0" w:type="dxa"/>
                  <w:left w:w="108" w:type="dxa"/>
                  <w:bottom w:w="0" w:type="dxa"/>
                  <w:right w:w="108" w:type="dxa"/>
                </w:tblCellMar>
              </w:tblPrEx>
              <w:trPr>
                <w:trHeight w:val="700" w:hRule="atLeast"/>
              </w:trPr>
              <w:tc>
                <w:tcPr>
                  <w:tcW w:w="437" w:type="dxa"/>
                  <w:tcBorders>
                    <w:top w:val="single" w:color="000000" w:sz="4" w:space="0"/>
                    <w:left w:val="single" w:color="000000" w:sz="4" w:space="0"/>
                    <w:bottom w:val="single" w:color="000000" w:sz="4" w:space="0"/>
                    <w:right w:val="single" w:color="auto" w:sz="4" w:space="0"/>
                  </w:tcBorders>
                  <w:shd w:val="clear" w:color="auto" w:fill="auto"/>
                  <w:vAlign w:val="center"/>
                </w:tcPr>
                <w:p w14:paraId="66BEF7AD">
                  <w:pPr>
                    <w:widowControl/>
                    <w:jc w:val="center"/>
                    <w:textAlignment w:val="center"/>
                    <w:rPr>
                      <w:rFonts w:hint="eastAsia" w:ascii="宋体" w:hAnsi="宋体" w:eastAsia="宋体" w:cs="宋体"/>
                      <w:kern w:val="0"/>
                      <w:sz w:val="22"/>
                      <w:szCs w:val="22"/>
                    </w:rPr>
                  </w:pPr>
                  <w:r>
                    <w:rPr>
                      <w:rFonts w:hint="eastAsia" w:ascii="宋体" w:hAnsi="宋体" w:eastAsia="宋体" w:cs="宋体"/>
                      <w:kern w:val="0"/>
                      <w:sz w:val="22"/>
                      <w:szCs w:val="22"/>
                    </w:rPr>
                    <w:t>9</w:t>
                  </w:r>
                </w:p>
              </w:tc>
              <w:tc>
                <w:tcPr>
                  <w:tcW w:w="647" w:type="dxa"/>
                  <w:vMerge w:val="continue"/>
                  <w:tcBorders>
                    <w:left w:val="single" w:color="auto" w:sz="4" w:space="0"/>
                    <w:right w:val="single" w:color="auto" w:sz="4" w:space="0"/>
                  </w:tcBorders>
                  <w:shd w:val="clear" w:color="auto" w:fill="auto"/>
                  <w:vAlign w:val="center"/>
                </w:tcPr>
                <w:p w14:paraId="4730922C">
                  <w:pPr>
                    <w:widowControl/>
                    <w:jc w:val="center"/>
                    <w:textAlignment w:val="center"/>
                    <w:rPr>
                      <w:rFonts w:hint="eastAsia" w:ascii="宋体" w:hAnsi="宋体" w:eastAsia="宋体" w:cs="宋体"/>
                      <w:sz w:val="22"/>
                      <w:szCs w:val="22"/>
                    </w:rPr>
                  </w:pPr>
                </w:p>
              </w:tc>
              <w:tc>
                <w:tcPr>
                  <w:tcW w:w="812" w:type="dxa"/>
                  <w:tcBorders>
                    <w:top w:val="single" w:color="000000" w:sz="4" w:space="0"/>
                    <w:left w:val="single" w:color="auto" w:sz="4" w:space="0"/>
                    <w:bottom w:val="single" w:color="000000" w:sz="4" w:space="0"/>
                    <w:right w:val="single" w:color="000000" w:sz="4" w:space="0"/>
                  </w:tcBorders>
                  <w:shd w:val="clear" w:color="auto" w:fill="auto"/>
                  <w:vAlign w:val="center"/>
                </w:tcPr>
                <w:p w14:paraId="2D647DA0">
                  <w:pPr>
                    <w:widowControl/>
                    <w:jc w:val="center"/>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优化患者基本信息录入</w:t>
                  </w:r>
                </w:p>
              </w:tc>
              <w:tc>
                <w:tcPr>
                  <w:tcW w:w="8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9B5A5">
                  <w:pPr>
                    <w:widowControl/>
                    <w:textAlignment w:val="center"/>
                    <w:rPr>
                      <w:rFonts w:ascii="Cambria" w:hAnsi="Cambria" w:eastAsia="华文仿宋" w:cs="Times New Roman"/>
                      <w:bCs/>
                      <w:kern w:val="0"/>
                      <w:szCs w:val="21"/>
                    </w:rPr>
                  </w:pPr>
                </w:p>
                <w:p w14:paraId="2A253379">
                  <w:pPr>
                    <w:pStyle w:val="2"/>
                    <w:rPr>
                      <w:rFonts w:hint="eastAsia" w:ascii="Cambria" w:hAnsi="Cambria" w:eastAsia="华文仿宋" w:cs="Times New Roman"/>
                      <w:bCs/>
                      <w:kern w:val="0"/>
                      <w:szCs w:val="21"/>
                    </w:rPr>
                  </w:pPr>
                  <w:r>
                    <w:rPr>
                      <w:rFonts w:hint="eastAsia" w:ascii="Cambria" w:hAnsi="Cambria" w:eastAsia="华文仿宋" w:cs="Times New Roman"/>
                      <w:bCs/>
                      <w:kern w:val="0"/>
                      <w:szCs w:val="21"/>
                    </w:rPr>
                    <w:t>1、在建档页面新增证件类型、性别、国籍、民族、职业、现住址、详细地址等内容。</w:t>
                  </w:r>
                </w:p>
                <w:p w14:paraId="03341C39">
                  <w:pPr>
                    <w:pStyle w:val="2"/>
                    <w:rPr>
                      <w:rFonts w:ascii="Cambria" w:hAnsi="Cambria" w:eastAsia="华文仿宋" w:cs="Times New Roman"/>
                      <w:bCs/>
                      <w:kern w:val="0"/>
                      <w:szCs w:val="21"/>
                    </w:rPr>
                  </w:pPr>
                  <w:r>
                    <w:rPr>
                      <w:rFonts w:hint="eastAsia" w:ascii="Cambria" w:hAnsi="Cambria" w:eastAsia="华文仿宋" w:cs="Times New Roman"/>
                      <w:bCs/>
                      <w:kern w:val="0"/>
                      <w:szCs w:val="21"/>
                    </w:rPr>
                    <w:t>2、患者绑卡及预约挂号时，判断信息是否完善，若存在必填项未录入，跳转到录入界面。</w:t>
                  </w:r>
                </w:p>
              </w:tc>
            </w:tr>
            <w:tr w14:paraId="512FFEDF">
              <w:tblPrEx>
                <w:tblCellMar>
                  <w:top w:w="0" w:type="dxa"/>
                  <w:left w:w="108" w:type="dxa"/>
                  <w:bottom w:w="0" w:type="dxa"/>
                  <w:right w:w="108" w:type="dxa"/>
                </w:tblCellMar>
              </w:tblPrEx>
              <w:trPr>
                <w:trHeight w:val="700" w:hRule="atLeast"/>
              </w:trPr>
              <w:tc>
                <w:tcPr>
                  <w:tcW w:w="437" w:type="dxa"/>
                  <w:tcBorders>
                    <w:top w:val="single" w:color="000000" w:sz="4" w:space="0"/>
                    <w:left w:val="single" w:color="000000" w:sz="4" w:space="0"/>
                    <w:bottom w:val="single" w:color="000000" w:sz="4" w:space="0"/>
                    <w:right w:val="single" w:color="auto" w:sz="4" w:space="0"/>
                  </w:tcBorders>
                  <w:shd w:val="clear" w:color="auto" w:fill="auto"/>
                  <w:vAlign w:val="center"/>
                </w:tcPr>
                <w:p w14:paraId="7BF10396">
                  <w:pPr>
                    <w:widowControl/>
                    <w:jc w:val="center"/>
                    <w:textAlignment w:val="center"/>
                    <w:rPr>
                      <w:rFonts w:hint="eastAsia" w:ascii="宋体" w:hAnsi="宋体" w:eastAsia="宋体" w:cs="宋体"/>
                      <w:kern w:val="0"/>
                      <w:sz w:val="22"/>
                      <w:szCs w:val="22"/>
                    </w:rPr>
                  </w:pPr>
                  <w:r>
                    <w:rPr>
                      <w:rFonts w:hint="eastAsia" w:ascii="宋体" w:hAnsi="宋体" w:eastAsia="宋体" w:cs="宋体"/>
                      <w:kern w:val="0"/>
                      <w:sz w:val="22"/>
                      <w:szCs w:val="22"/>
                    </w:rPr>
                    <w:t>10</w:t>
                  </w:r>
                </w:p>
              </w:tc>
              <w:tc>
                <w:tcPr>
                  <w:tcW w:w="647" w:type="dxa"/>
                  <w:vMerge w:val="continue"/>
                  <w:tcBorders>
                    <w:left w:val="single" w:color="auto" w:sz="4" w:space="0"/>
                    <w:right w:val="single" w:color="auto" w:sz="4" w:space="0"/>
                  </w:tcBorders>
                  <w:shd w:val="clear" w:color="auto" w:fill="auto"/>
                  <w:vAlign w:val="center"/>
                </w:tcPr>
                <w:p w14:paraId="682392CF">
                  <w:pPr>
                    <w:widowControl/>
                    <w:jc w:val="center"/>
                    <w:textAlignment w:val="center"/>
                    <w:rPr>
                      <w:rFonts w:hint="eastAsia" w:ascii="宋体" w:hAnsi="宋体" w:eastAsia="宋体" w:cs="宋体"/>
                      <w:sz w:val="22"/>
                      <w:szCs w:val="22"/>
                    </w:rPr>
                  </w:pPr>
                </w:p>
              </w:tc>
              <w:tc>
                <w:tcPr>
                  <w:tcW w:w="812" w:type="dxa"/>
                  <w:tcBorders>
                    <w:top w:val="single" w:color="000000" w:sz="4" w:space="0"/>
                    <w:left w:val="single" w:color="auto" w:sz="4" w:space="0"/>
                    <w:bottom w:val="single" w:color="000000" w:sz="4" w:space="0"/>
                    <w:right w:val="single" w:color="000000" w:sz="4" w:space="0"/>
                  </w:tcBorders>
                  <w:shd w:val="clear" w:color="auto" w:fill="auto"/>
                  <w:vAlign w:val="center"/>
                </w:tcPr>
                <w:p w14:paraId="37C41000">
                  <w:pPr>
                    <w:widowControl/>
                    <w:jc w:val="center"/>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检验报告查看升级</w:t>
                  </w:r>
                </w:p>
              </w:tc>
              <w:tc>
                <w:tcPr>
                  <w:tcW w:w="8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6B30D">
                  <w:pPr>
                    <w:pStyle w:val="2"/>
                    <w:rPr>
                      <w:rFonts w:hint="eastAsia"/>
                    </w:rPr>
                  </w:pPr>
                  <w:r>
                    <w:rPr>
                      <w:rFonts w:hint="eastAsia" w:ascii="Cambria" w:hAnsi="Cambria" w:eastAsia="华文仿宋" w:cs="Times New Roman"/>
                      <w:bCs/>
                      <w:kern w:val="0"/>
                      <w:szCs w:val="21"/>
                    </w:rPr>
                    <w:t>在原有报告查询功能上，新增生殖中心报告查询功能。</w:t>
                  </w:r>
                </w:p>
              </w:tc>
            </w:tr>
            <w:tr w14:paraId="7F64789B">
              <w:tblPrEx>
                <w:tblCellMar>
                  <w:top w:w="0" w:type="dxa"/>
                  <w:left w:w="108" w:type="dxa"/>
                  <w:bottom w:w="0" w:type="dxa"/>
                  <w:right w:w="108" w:type="dxa"/>
                </w:tblCellMar>
              </w:tblPrEx>
              <w:trPr>
                <w:trHeight w:val="700" w:hRule="atLeast"/>
              </w:trPr>
              <w:tc>
                <w:tcPr>
                  <w:tcW w:w="437" w:type="dxa"/>
                  <w:tcBorders>
                    <w:top w:val="single" w:color="000000" w:sz="4" w:space="0"/>
                    <w:left w:val="single" w:color="000000" w:sz="4" w:space="0"/>
                    <w:bottom w:val="single" w:color="000000" w:sz="4" w:space="0"/>
                    <w:right w:val="single" w:color="auto" w:sz="4" w:space="0"/>
                  </w:tcBorders>
                  <w:shd w:val="clear" w:color="auto" w:fill="auto"/>
                  <w:vAlign w:val="center"/>
                </w:tcPr>
                <w:p w14:paraId="3951824F">
                  <w:pPr>
                    <w:widowControl/>
                    <w:jc w:val="center"/>
                    <w:textAlignment w:val="center"/>
                    <w:rPr>
                      <w:rFonts w:hint="eastAsia" w:ascii="宋体" w:hAnsi="宋体" w:eastAsia="宋体" w:cs="宋体"/>
                      <w:kern w:val="0"/>
                      <w:sz w:val="22"/>
                      <w:szCs w:val="22"/>
                    </w:rPr>
                  </w:pPr>
                  <w:r>
                    <w:rPr>
                      <w:rFonts w:ascii="宋体" w:hAnsi="宋体" w:eastAsia="宋体" w:cs="宋体"/>
                      <w:kern w:val="0"/>
                      <w:sz w:val="22"/>
                      <w:szCs w:val="22"/>
                    </w:rPr>
                    <w:t>1</w:t>
                  </w:r>
                  <w:r>
                    <w:rPr>
                      <w:rFonts w:hint="eastAsia" w:ascii="宋体" w:hAnsi="宋体" w:eastAsia="宋体" w:cs="宋体"/>
                      <w:kern w:val="0"/>
                      <w:sz w:val="22"/>
                      <w:szCs w:val="22"/>
                    </w:rPr>
                    <w:t>1</w:t>
                  </w:r>
                </w:p>
              </w:tc>
              <w:tc>
                <w:tcPr>
                  <w:tcW w:w="647" w:type="dxa"/>
                  <w:vMerge w:val="continue"/>
                  <w:tcBorders>
                    <w:left w:val="single" w:color="auto" w:sz="4" w:space="0"/>
                    <w:right w:val="single" w:color="auto" w:sz="4" w:space="0"/>
                  </w:tcBorders>
                  <w:shd w:val="clear" w:color="auto" w:fill="auto"/>
                  <w:vAlign w:val="center"/>
                </w:tcPr>
                <w:p w14:paraId="0700ED9D">
                  <w:pPr>
                    <w:widowControl/>
                    <w:jc w:val="center"/>
                    <w:textAlignment w:val="center"/>
                    <w:rPr>
                      <w:rFonts w:hint="eastAsia" w:ascii="宋体" w:hAnsi="宋体" w:eastAsia="宋体" w:cs="宋体"/>
                      <w:sz w:val="22"/>
                      <w:szCs w:val="22"/>
                    </w:rPr>
                  </w:pPr>
                </w:p>
              </w:tc>
              <w:tc>
                <w:tcPr>
                  <w:tcW w:w="812" w:type="dxa"/>
                  <w:tcBorders>
                    <w:top w:val="single" w:color="000000" w:sz="4" w:space="0"/>
                    <w:left w:val="single" w:color="auto" w:sz="4" w:space="0"/>
                    <w:bottom w:val="single" w:color="000000" w:sz="4" w:space="0"/>
                    <w:right w:val="single" w:color="000000" w:sz="4" w:space="0"/>
                  </w:tcBorders>
                  <w:shd w:val="clear" w:color="auto" w:fill="auto"/>
                  <w:vAlign w:val="center"/>
                </w:tcPr>
                <w:p w14:paraId="49A85C81">
                  <w:pPr>
                    <w:widowControl/>
                    <w:jc w:val="center"/>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转诊平台升级</w:t>
                  </w:r>
                </w:p>
              </w:tc>
              <w:tc>
                <w:tcPr>
                  <w:tcW w:w="8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42C00">
                  <w:pPr>
                    <w:widowControl/>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1、优化平台页面显示，支持以微信小程序、H5等手机兼容模式访问。</w:t>
                  </w:r>
                </w:p>
                <w:p w14:paraId="5AF18ABE">
                  <w:pPr>
                    <w:widowControl/>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2、新增上下转诊机构短信、消息通知功能。</w:t>
                  </w:r>
                </w:p>
              </w:tc>
            </w:tr>
            <w:tr w14:paraId="425D82ED">
              <w:tblPrEx>
                <w:tblCellMar>
                  <w:top w:w="0" w:type="dxa"/>
                  <w:left w:w="108" w:type="dxa"/>
                  <w:bottom w:w="0" w:type="dxa"/>
                  <w:right w:w="108" w:type="dxa"/>
                </w:tblCellMar>
              </w:tblPrEx>
              <w:trPr>
                <w:trHeight w:val="700" w:hRule="atLeast"/>
              </w:trPr>
              <w:tc>
                <w:tcPr>
                  <w:tcW w:w="437" w:type="dxa"/>
                  <w:tcBorders>
                    <w:top w:val="single" w:color="000000" w:sz="4" w:space="0"/>
                    <w:left w:val="single" w:color="000000" w:sz="4" w:space="0"/>
                    <w:bottom w:val="single" w:color="000000" w:sz="4" w:space="0"/>
                    <w:right w:val="single" w:color="auto" w:sz="4" w:space="0"/>
                  </w:tcBorders>
                  <w:shd w:val="clear" w:color="auto" w:fill="auto"/>
                  <w:vAlign w:val="center"/>
                </w:tcPr>
                <w:p w14:paraId="4C73CD7E">
                  <w:pPr>
                    <w:widowControl/>
                    <w:jc w:val="center"/>
                    <w:textAlignment w:val="center"/>
                    <w:rPr>
                      <w:rFonts w:hint="eastAsia" w:ascii="宋体" w:hAnsi="宋体" w:eastAsia="宋体" w:cs="宋体"/>
                      <w:kern w:val="0"/>
                      <w:sz w:val="22"/>
                      <w:szCs w:val="22"/>
                    </w:rPr>
                  </w:pPr>
                  <w:r>
                    <w:rPr>
                      <w:rFonts w:ascii="宋体" w:hAnsi="宋体" w:eastAsia="宋体" w:cs="宋体"/>
                      <w:kern w:val="0"/>
                      <w:sz w:val="22"/>
                      <w:szCs w:val="22"/>
                    </w:rPr>
                    <w:t>1</w:t>
                  </w:r>
                  <w:r>
                    <w:rPr>
                      <w:rFonts w:hint="eastAsia" w:ascii="宋体" w:hAnsi="宋体" w:eastAsia="宋体" w:cs="宋体"/>
                      <w:kern w:val="0"/>
                      <w:sz w:val="22"/>
                      <w:szCs w:val="22"/>
                    </w:rPr>
                    <w:t>2</w:t>
                  </w:r>
                </w:p>
              </w:tc>
              <w:tc>
                <w:tcPr>
                  <w:tcW w:w="647" w:type="dxa"/>
                  <w:vMerge w:val="continue"/>
                  <w:tcBorders>
                    <w:left w:val="single" w:color="auto" w:sz="4" w:space="0"/>
                    <w:bottom w:val="single" w:color="auto" w:sz="4" w:space="0"/>
                    <w:right w:val="single" w:color="auto" w:sz="4" w:space="0"/>
                  </w:tcBorders>
                  <w:shd w:val="clear" w:color="auto" w:fill="auto"/>
                  <w:vAlign w:val="center"/>
                </w:tcPr>
                <w:p w14:paraId="119F25EE">
                  <w:pPr>
                    <w:widowControl/>
                    <w:jc w:val="center"/>
                    <w:textAlignment w:val="center"/>
                    <w:rPr>
                      <w:rFonts w:hint="eastAsia" w:ascii="宋体" w:hAnsi="宋体" w:eastAsia="宋体" w:cs="宋体"/>
                      <w:sz w:val="22"/>
                      <w:szCs w:val="22"/>
                    </w:rPr>
                  </w:pPr>
                </w:p>
              </w:tc>
              <w:tc>
                <w:tcPr>
                  <w:tcW w:w="812" w:type="dxa"/>
                  <w:tcBorders>
                    <w:top w:val="single" w:color="000000" w:sz="4" w:space="0"/>
                    <w:left w:val="single" w:color="auto" w:sz="4" w:space="0"/>
                    <w:bottom w:val="single" w:color="000000" w:sz="4" w:space="0"/>
                    <w:right w:val="single" w:color="000000" w:sz="4" w:space="0"/>
                  </w:tcBorders>
                  <w:shd w:val="clear" w:color="auto" w:fill="auto"/>
                  <w:vAlign w:val="center"/>
                </w:tcPr>
                <w:p w14:paraId="217ED60F">
                  <w:pPr>
                    <w:widowControl/>
                    <w:jc w:val="center"/>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优化主动健康小程序视频问诊流程</w:t>
                  </w:r>
                </w:p>
              </w:tc>
              <w:tc>
                <w:tcPr>
                  <w:tcW w:w="8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03C26">
                  <w:pPr>
                    <w:widowControl/>
                    <w:textAlignment w:val="center"/>
                    <w:rPr>
                      <w:rFonts w:ascii="Cambria" w:hAnsi="Cambria" w:eastAsia="华文仿宋" w:cs="Times New Roman"/>
                      <w:bCs/>
                      <w:kern w:val="0"/>
                      <w:szCs w:val="21"/>
                    </w:rPr>
                  </w:pPr>
                </w:p>
                <w:p w14:paraId="19E6B293">
                  <w:pPr>
                    <w:widowControl/>
                    <w:textAlignment w:val="center"/>
                  </w:pPr>
                  <w:r>
                    <w:rPr>
                      <w:rFonts w:hint="eastAsia" w:ascii="Cambria" w:hAnsi="Cambria" w:eastAsia="华文仿宋" w:cs="Times New Roman"/>
                      <w:bCs/>
                      <w:kern w:val="0"/>
                      <w:szCs w:val="21"/>
                    </w:rPr>
                    <w:t>支持从医院主动健康小程序跳转到互联网医院对应诊室或医生视频问诊页面。</w:t>
                  </w:r>
                </w:p>
              </w:tc>
            </w:tr>
            <w:tr w14:paraId="7E0462C9">
              <w:tblPrEx>
                <w:tblCellMar>
                  <w:top w:w="0" w:type="dxa"/>
                  <w:left w:w="108" w:type="dxa"/>
                  <w:bottom w:w="0" w:type="dxa"/>
                  <w:right w:w="108" w:type="dxa"/>
                </w:tblCellMar>
              </w:tblPrEx>
              <w:trPr>
                <w:trHeight w:val="700" w:hRule="atLeast"/>
              </w:trPr>
              <w:tc>
                <w:tcPr>
                  <w:tcW w:w="437" w:type="dxa"/>
                  <w:tcBorders>
                    <w:top w:val="single" w:color="000000" w:sz="4" w:space="0"/>
                    <w:left w:val="single" w:color="000000" w:sz="4" w:space="0"/>
                    <w:bottom w:val="single" w:color="000000" w:sz="4" w:space="0"/>
                    <w:right w:val="single" w:color="auto" w:sz="4" w:space="0"/>
                  </w:tcBorders>
                  <w:shd w:val="clear" w:color="auto" w:fill="auto"/>
                  <w:vAlign w:val="center"/>
                </w:tcPr>
                <w:p w14:paraId="1874898E">
                  <w:pPr>
                    <w:widowControl/>
                    <w:jc w:val="center"/>
                    <w:textAlignment w:val="center"/>
                    <w:rPr>
                      <w:rFonts w:hint="eastAsia" w:ascii="宋体" w:hAnsi="宋体" w:eastAsia="宋体" w:cs="宋体"/>
                      <w:kern w:val="0"/>
                      <w:sz w:val="22"/>
                      <w:szCs w:val="22"/>
                    </w:rPr>
                  </w:pPr>
                  <w:r>
                    <w:rPr>
                      <w:rFonts w:hint="eastAsia" w:ascii="宋体" w:hAnsi="宋体" w:eastAsia="宋体" w:cs="宋体"/>
                      <w:kern w:val="0"/>
                      <w:sz w:val="22"/>
                      <w:szCs w:val="22"/>
                    </w:rPr>
                    <w:t>13</w:t>
                  </w:r>
                </w:p>
              </w:tc>
              <w:tc>
                <w:tcPr>
                  <w:tcW w:w="647" w:type="dxa"/>
                  <w:tcBorders>
                    <w:top w:val="single" w:color="auto" w:sz="4" w:space="0"/>
                    <w:left w:val="single" w:color="auto" w:sz="4" w:space="0"/>
                    <w:bottom w:val="single" w:color="auto" w:sz="4" w:space="0"/>
                    <w:right w:val="single" w:color="auto" w:sz="4" w:space="0"/>
                  </w:tcBorders>
                  <w:shd w:val="clear" w:color="auto" w:fill="auto"/>
                  <w:vAlign w:val="center"/>
                </w:tcPr>
                <w:p w14:paraId="49CDBCB1">
                  <w:pPr>
                    <w:widowControl/>
                    <w:jc w:val="center"/>
                    <w:textAlignment w:val="center"/>
                    <w:rPr>
                      <w:rFonts w:hint="eastAsia" w:ascii="宋体" w:hAnsi="宋体" w:eastAsia="宋体" w:cs="宋体"/>
                      <w:sz w:val="22"/>
                      <w:szCs w:val="22"/>
                    </w:rPr>
                  </w:pPr>
                </w:p>
              </w:tc>
              <w:tc>
                <w:tcPr>
                  <w:tcW w:w="812" w:type="dxa"/>
                  <w:tcBorders>
                    <w:top w:val="single" w:color="000000" w:sz="4" w:space="0"/>
                    <w:left w:val="single" w:color="auto" w:sz="4" w:space="0"/>
                    <w:bottom w:val="single" w:color="000000" w:sz="4" w:space="0"/>
                    <w:right w:val="single" w:color="000000" w:sz="4" w:space="0"/>
                  </w:tcBorders>
                  <w:shd w:val="clear" w:color="auto" w:fill="auto"/>
                  <w:vAlign w:val="center"/>
                </w:tcPr>
                <w:p w14:paraId="74CC9D4D">
                  <w:pPr>
                    <w:widowControl/>
                    <w:jc w:val="center"/>
                    <w:textAlignment w:val="center"/>
                    <w:rPr>
                      <w:rFonts w:ascii="Cambria" w:hAnsi="Cambria" w:eastAsia="华文仿宋" w:cs="Times New Roman"/>
                      <w:bCs/>
                      <w:kern w:val="0"/>
                      <w:szCs w:val="21"/>
                    </w:rPr>
                  </w:pPr>
                  <w:r>
                    <w:rPr>
                      <w:rFonts w:hint="eastAsia" w:ascii="Cambria" w:hAnsi="Cambria" w:eastAsia="华文仿宋" w:cs="Times New Roman"/>
                      <w:bCs/>
                      <w:kern w:val="0"/>
                      <w:szCs w:val="21"/>
                    </w:rPr>
                    <w:t>接口对接服务</w:t>
                  </w:r>
                </w:p>
              </w:tc>
              <w:tc>
                <w:tcPr>
                  <w:tcW w:w="8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B8C5B">
                  <w:pPr>
                    <w:widowControl/>
                    <w:textAlignment w:val="center"/>
                    <w:rPr>
                      <w:rFonts w:ascii="Cambria" w:hAnsi="Cambria" w:eastAsia="华文仿宋" w:cs="Times New Roman"/>
                      <w:bCs/>
                      <w:kern w:val="0"/>
                      <w:szCs w:val="21"/>
                      <w:lang w:eastAsia="zh-Hans"/>
                    </w:rPr>
                  </w:pPr>
                  <w:r>
                    <w:rPr>
                      <w:rFonts w:hint="eastAsia" w:ascii="Cambria" w:hAnsi="Cambria" w:eastAsia="华文仿宋" w:cs="Times New Roman"/>
                      <w:bCs/>
                      <w:kern w:val="0"/>
                      <w:szCs w:val="21"/>
                    </w:rPr>
                    <w:t>包含此次互联网医院升级所需对接的院内系统接口开发及技术对接服务，完成清单中接口对接工作，产生第三方接口费由中标方承担。</w:t>
                  </w:r>
                </w:p>
              </w:tc>
            </w:tr>
          </w:tbl>
          <w:p w14:paraId="614D0F5C">
            <w:pPr>
              <w:keepNext/>
              <w:widowControl/>
              <w:numPr>
                <w:ilvl w:val="0"/>
                <w:numId w:val="1"/>
              </w:numPr>
              <w:shd w:val="clear" w:color="auto" w:fill="FFFFFF"/>
              <w:autoSpaceDE w:val="0"/>
              <w:spacing w:before="120" w:after="120"/>
              <w:ind w:left="420" w:hanging="420"/>
              <w:rPr>
                <w:rFonts w:hint="eastAsia" w:ascii="仿宋" w:hAnsi="仿宋" w:eastAsia="仿宋" w:cs="仿宋"/>
                <w:b/>
                <w:color w:val="000000"/>
                <w:kern w:val="0"/>
                <w:sz w:val="28"/>
                <w:szCs w:val="28"/>
                <w:shd w:val="clear" w:color="auto" w:fill="FFFFFF"/>
              </w:rPr>
            </w:pPr>
            <w:r>
              <w:rPr>
                <w:rFonts w:hint="eastAsia" w:ascii="仿宋" w:hAnsi="仿宋" w:eastAsia="仿宋" w:cs="仿宋"/>
                <w:b/>
                <w:color w:val="000000"/>
                <w:kern w:val="0"/>
                <w:sz w:val="28"/>
                <w:szCs w:val="28"/>
                <w:shd w:val="clear" w:color="auto" w:fill="FFFFFF"/>
              </w:rPr>
              <w:t>技术要求</w:t>
            </w:r>
          </w:p>
          <w:p w14:paraId="7E89DDF1">
            <w:pPr>
              <w:widowControl/>
              <w:jc w:val="left"/>
              <w:rPr>
                <w:rFonts w:hint="eastAsia" w:ascii="仿宋" w:hAnsi="仿宋" w:eastAsia="仿宋" w:cs="仿宋"/>
                <w:sz w:val="24"/>
              </w:rPr>
            </w:pPr>
            <w:r>
              <w:rPr>
                <w:rFonts w:hint="eastAsia" w:ascii="仿宋" w:hAnsi="仿宋" w:eastAsia="仿宋" w:cs="仿宋"/>
                <w:sz w:val="24"/>
              </w:rPr>
              <w:t>1.须提供系统涉及的操作系统、数据库、中间件，并不再收费,涉及的中间件承建方应保证并提供所用均为正版。</w:t>
            </w:r>
          </w:p>
          <w:p w14:paraId="0A146901">
            <w:pPr>
              <w:widowControl/>
              <w:jc w:val="left"/>
              <w:rPr>
                <w:rFonts w:hint="eastAsia" w:ascii="仿宋" w:hAnsi="仿宋" w:eastAsia="仿宋" w:cs="仿宋"/>
                <w:sz w:val="24"/>
              </w:rPr>
            </w:pPr>
            <w:r>
              <w:rPr>
                <w:rFonts w:hint="eastAsia" w:ascii="仿宋" w:hAnsi="仿宋" w:eastAsia="仿宋" w:cs="仿宋"/>
                <w:sz w:val="24"/>
              </w:rPr>
              <w:t>2.系统硬件兼容性：系统服务器端应支持国内外主流服务器、存储等硬件产品，客户端应支持国内外主流桌面类硬件产品。</w:t>
            </w:r>
          </w:p>
          <w:p w14:paraId="4C0D07FB">
            <w:pPr>
              <w:widowControl/>
              <w:jc w:val="left"/>
              <w:rPr>
                <w:rFonts w:hint="eastAsia" w:ascii="仿宋" w:hAnsi="仿宋" w:eastAsia="仿宋" w:cs="仿宋"/>
                <w:sz w:val="24"/>
              </w:rPr>
            </w:pPr>
            <w:r>
              <w:rPr>
                <w:rFonts w:hint="eastAsia" w:ascii="仿宋" w:hAnsi="仿宋" w:eastAsia="仿宋" w:cs="仿宋"/>
                <w:sz w:val="24"/>
              </w:rPr>
              <w:t>3.系统软件兼容性：系统应支持兼容国内外主流操作系统、数据库、应用中间件等软件，常见开源软件以及国内自主软件产品。</w:t>
            </w:r>
          </w:p>
          <w:p w14:paraId="2AF80000">
            <w:pPr>
              <w:widowControl/>
              <w:jc w:val="left"/>
              <w:rPr>
                <w:rFonts w:hint="eastAsia" w:ascii="仿宋" w:hAnsi="仿宋" w:eastAsia="仿宋" w:cs="仿宋"/>
                <w:sz w:val="24"/>
              </w:rPr>
            </w:pPr>
            <w:r>
              <w:rPr>
                <w:rFonts w:hint="eastAsia" w:ascii="仿宋" w:hAnsi="仿宋" w:eastAsia="仿宋" w:cs="仿宋"/>
                <w:sz w:val="24"/>
              </w:rPr>
              <w:t>4.操作系统：客户端应支持包括但不限于WINXP及以上版本、银河麒麟、统信等，移动操作系统包括ios、安卓、鸿蒙等，服务器端应支持包括但不限于主流WINDOWS、LINUX、银河麒麟、统信等操作系统。</w:t>
            </w:r>
          </w:p>
          <w:p w14:paraId="0724D559">
            <w:pPr>
              <w:widowControl/>
              <w:jc w:val="left"/>
              <w:rPr>
                <w:rFonts w:hint="eastAsia" w:ascii="仿宋" w:hAnsi="仿宋" w:eastAsia="仿宋" w:cs="仿宋"/>
                <w:sz w:val="24"/>
              </w:rPr>
            </w:pPr>
            <w:r>
              <w:rPr>
                <w:rFonts w:hint="eastAsia" w:ascii="仿宋" w:hAnsi="仿宋" w:eastAsia="仿宋" w:cs="仿宋"/>
                <w:sz w:val="24"/>
              </w:rPr>
              <w:t>5.数据库：支持国内外主流数据库，包括但不限于MYSQL、SQLSERVER、ORACLE、达梦、人大金仓等类型数据库</w:t>
            </w:r>
          </w:p>
          <w:p w14:paraId="2B19668A">
            <w:pPr>
              <w:widowControl/>
              <w:jc w:val="left"/>
              <w:rPr>
                <w:rFonts w:hint="eastAsia" w:ascii="仿宋" w:hAnsi="仿宋" w:eastAsia="仿宋" w:cs="仿宋"/>
                <w:sz w:val="24"/>
              </w:rPr>
            </w:pPr>
            <w:r>
              <w:rPr>
                <w:rFonts w:hint="eastAsia" w:ascii="仿宋" w:hAnsi="仿宋" w:eastAsia="仿宋" w:cs="仿宋"/>
                <w:sz w:val="24"/>
              </w:rPr>
              <w:t>6.中间件：支持国内外主流中间件软件，包括但不限于NGINX、TOMCAT、IIS等。</w:t>
            </w:r>
          </w:p>
          <w:p w14:paraId="087F803F">
            <w:pPr>
              <w:widowControl/>
              <w:jc w:val="left"/>
              <w:rPr>
                <w:rFonts w:hint="eastAsia" w:ascii="仿宋" w:hAnsi="仿宋" w:eastAsia="仿宋" w:cs="仿宋"/>
                <w:sz w:val="24"/>
              </w:rPr>
            </w:pPr>
            <w:r>
              <w:rPr>
                <w:rFonts w:hint="eastAsia" w:ascii="仿宋" w:hAnsi="仿宋" w:eastAsia="仿宋" w:cs="仿宋"/>
                <w:sz w:val="24"/>
              </w:rPr>
              <w:t>7.浏览器：系统如采用BS架构，则应支持国内外主流浏览器软件，包括但不限于CHROME49及以上版本、IE8.0及以上版本等，以及支持国密算法与国密SSL协议的浏览器软件，包括但不限于360浏览器、奇安信等。</w:t>
            </w:r>
          </w:p>
          <w:p w14:paraId="1E67A8A3">
            <w:pPr>
              <w:widowControl/>
              <w:jc w:val="left"/>
              <w:rPr>
                <w:rFonts w:hint="eastAsia" w:ascii="仿宋" w:hAnsi="仿宋" w:eastAsia="仿宋" w:cs="仿宋"/>
                <w:sz w:val="24"/>
              </w:rPr>
            </w:pPr>
            <w:r>
              <w:rPr>
                <w:rFonts w:hint="eastAsia" w:ascii="仿宋" w:hAnsi="仿宋" w:eastAsia="仿宋" w:cs="仿宋"/>
                <w:sz w:val="24"/>
              </w:rPr>
              <w:t>8.满足“医院信息互联互通评价指标体系”五级乙等标准、“电子病历分级评价指标”六级标准、电子病历基础数据集、电子病历共享文档等标准的相关要求。</w:t>
            </w:r>
          </w:p>
          <w:p w14:paraId="09BD2E17">
            <w:pPr>
              <w:widowControl/>
              <w:jc w:val="left"/>
              <w:rPr>
                <w:rFonts w:hint="eastAsia" w:ascii="仿宋" w:hAnsi="仿宋" w:eastAsia="仿宋" w:cs="仿宋"/>
                <w:sz w:val="24"/>
              </w:rPr>
            </w:pPr>
            <w:r>
              <w:rPr>
                <w:rFonts w:hint="eastAsia" w:ascii="仿宋" w:hAnsi="仿宋" w:eastAsia="仿宋" w:cs="仿宋"/>
                <w:sz w:val="24"/>
              </w:rPr>
              <w:t>▲9.按照医院要求，能实现与医院信息系统，包含但不限于HIS系统、医疗大数据中心等系统的互联互通、数据共享、系统集成；</w:t>
            </w:r>
          </w:p>
          <w:p w14:paraId="399DD6A9">
            <w:pPr>
              <w:widowControl/>
              <w:jc w:val="left"/>
              <w:rPr>
                <w:rFonts w:hint="eastAsia" w:ascii="仿宋" w:hAnsi="仿宋" w:eastAsia="仿宋" w:cs="仿宋"/>
                <w:sz w:val="24"/>
              </w:rPr>
            </w:pPr>
            <w:r>
              <w:rPr>
                <w:rFonts w:hint="eastAsia" w:ascii="仿宋" w:hAnsi="仿宋" w:eastAsia="仿宋" w:cs="仿宋"/>
                <w:sz w:val="24"/>
              </w:rPr>
              <w:t>10.系统基础数据使用医院信息集成平台主索引数据，保证医院信息系统基础数据的统一性；可以与医院单点登录系统实现无缝集成；</w:t>
            </w:r>
          </w:p>
          <w:p w14:paraId="7740F4F9">
            <w:pPr>
              <w:widowControl/>
              <w:jc w:val="left"/>
              <w:rPr>
                <w:rFonts w:hint="eastAsia" w:ascii="仿宋" w:hAnsi="仿宋" w:eastAsia="仿宋" w:cs="仿宋"/>
                <w:sz w:val="24"/>
              </w:rPr>
            </w:pPr>
            <w:r>
              <w:rPr>
                <w:rFonts w:hint="eastAsia" w:ascii="仿宋" w:hAnsi="仿宋" w:eastAsia="仿宋" w:cs="仿宋"/>
                <w:sz w:val="24"/>
              </w:rPr>
              <w:t>11.系统应开放端口，并能按院方要求及标准进行系统集成对接，实现与我院各信息系统无缝连接，12.支持多种灵活的对接方式，支持webservice、webapi等接口服务接入集成方式接入方式。</w:t>
            </w:r>
          </w:p>
          <w:p w14:paraId="1202DDA9">
            <w:pPr>
              <w:widowControl/>
              <w:jc w:val="left"/>
              <w:rPr>
                <w:rFonts w:hint="eastAsia" w:ascii="仿宋" w:hAnsi="仿宋" w:eastAsia="仿宋" w:cs="仿宋"/>
                <w:sz w:val="24"/>
              </w:rPr>
            </w:pPr>
            <w:r>
              <w:rPr>
                <w:rFonts w:hint="eastAsia" w:ascii="仿宋" w:hAnsi="仿宋" w:eastAsia="仿宋" w:cs="仿宋"/>
                <w:sz w:val="24"/>
              </w:rPr>
              <w:t>13.中标后提供所有数据库表结构及详细说明文档。</w:t>
            </w:r>
          </w:p>
          <w:p w14:paraId="12FE50C6">
            <w:pPr>
              <w:widowControl/>
              <w:jc w:val="left"/>
              <w:rPr>
                <w:rFonts w:hint="eastAsia" w:ascii="仿宋" w:hAnsi="仿宋" w:eastAsia="仿宋" w:cs="仿宋"/>
                <w:sz w:val="24"/>
              </w:rPr>
            </w:pPr>
            <w:r>
              <w:rPr>
                <w:rFonts w:hint="eastAsia" w:ascii="仿宋" w:hAnsi="仿宋" w:eastAsia="仿宋" w:cs="仿宋"/>
                <w:sz w:val="24"/>
              </w:rPr>
              <w:t>14.保证数据的开放性，如存在加密数据，需提供解密方法。</w:t>
            </w:r>
          </w:p>
          <w:p w14:paraId="416D6E22">
            <w:pPr>
              <w:widowControl/>
              <w:jc w:val="left"/>
              <w:rPr>
                <w:rFonts w:hint="eastAsia" w:ascii="仿宋" w:hAnsi="仿宋" w:eastAsia="仿宋" w:cs="仿宋"/>
                <w:sz w:val="24"/>
              </w:rPr>
            </w:pPr>
            <w:r>
              <w:rPr>
                <w:rFonts w:hint="eastAsia" w:ascii="仿宋" w:hAnsi="仿宋" w:eastAsia="仿宋" w:cs="仿宋"/>
                <w:sz w:val="24"/>
              </w:rPr>
              <w:t>15.系统扩展性好，便于二次开发。</w:t>
            </w:r>
          </w:p>
          <w:p w14:paraId="1E26DCA7">
            <w:pPr>
              <w:widowControl/>
              <w:jc w:val="left"/>
              <w:rPr>
                <w:rFonts w:hint="eastAsia" w:ascii="仿宋" w:hAnsi="仿宋" w:eastAsia="仿宋" w:cs="仿宋"/>
                <w:sz w:val="24"/>
              </w:rPr>
            </w:pPr>
            <w:r>
              <w:rPr>
                <w:rFonts w:hint="eastAsia" w:ascii="仿宋" w:hAnsi="仿宋" w:eastAsia="仿宋" w:cs="仿宋"/>
                <w:sz w:val="24"/>
              </w:rPr>
              <w:t>16.异常处理机制完善，有清晰明确的报错信息:有详细的日志记录，便于排查问题。</w:t>
            </w:r>
          </w:p>
          <w:p w14:paraId="53EBC563">
            <w:pPr>
              <w:widowControl/>
              <w:jc w:val="left"/>
              <w:rPr>
                <w:rFonts w:hint="eastAsia" w:ascii="仿宋" w:hAnsi="仿宋" w:eastAsia="仿宋" w:cs="仿宋"/>
                <w:sz w:val="24"/>
              </w:rPr>
            </w:pPr>
            <w:r>
              <w:rPr>
                <w:rFonts w:hint="eastAsia" w:ascii="仿宋" w:hAnsi="仿宋" w:eastAsia="仿宋" w:cs="仿宋"/>
                <w:sz w:val="24"/>
              </w:rPr>
              <w:t>17.系统可配置性高，能通过配置文件完成各种功能、参数的设置。</w:t>
            </w:r>
          </w:p>
          <w:p w14:paraId="17005530">
            <w:pPr>
              <w:widowControl/>
              <w:jc w:val="left"/>
              <w:rPr>
                <w:rFonts w:hint="eastAsia" w:ascii="仿宋" w:hAnsi="仿宋" w:eastAsia="仿宋" w:cs="仿宋"/>
                <w:sz w:val="24"/>
              </w:rPr>
            </w:pPr>
            <w:r>
              <w:rPr>
                <w:rFonts w:hint="eastAsia" w:ascii="仿宋" w:hAnsi="仿宋" w:eastAsia="仿宋" w:cs="仿宋"/>
                <w:sz w:val="24"/>
              </w:rPr>
              <w:t>18.系统运行稳定，业务处理高性能快速响应，界面友好，操作简便。</w:t>
            </w:r>
          </w:p>
          <w:p w14:paraId="02D0CD56">
            <w:pPr>
              <w:widowControl/>
              <w:jc w:val="left"/>
              <w:rPr>
                <w:rFonts w:hint="eastAsia" w:ascii="仿宋" w:hAnsi="仿宋" w:eastAsia="仿宋" w:cs="仿宋"/>
                <w:sz w:val="24"/>
              </w:rPr>
            </w:pPr>
            <w:r>
              <w:rPr>
                <w:rFonts w:hint="eastAsia" w:ascii="仿宋" w:hAnsi="仿宋" w:eastAsia="仿宋" w:cs="仿宋"/>
                <w:sz w:val="24"/>
              </w:rPr>
              <w:t>19.系统要有完备的应急预案，保证业务运行的连续性。</w:t>
            </w:r>
          </w:p>
          <w:p w14:paraId="1F6206E1">
            <w:pPr>
              <w:widowControl/>
              <w:jc w:val="left"/>
              <w:rPr>
                <w:rFonts w:hint="eastAsia" w:ascii="仿宋" w:hAnsi="仿宋" w:eastAsia="仿宋" w:cs="仿宋"/>
                <w:sz w:val="24"/>
              </w:rPr>
            </w:pPr>
            <w:r>
              <w:rPr>
                <w:rFonts w:hint="eastAsia" w:ascii="仿宋" w:hAnsi="仿宋" w:eastAsia="仿宋" w:cs="仿宋"/>
                <w:sz w:val="24"/>
              </w:rPr>
              <w:t>20.提供自动保护功能，当故障发生时自动保护当前所有状态,保证系统能够进行恢复。</w:t>
            </w:r>
          </w:p>
          <w:p w14:paraId="0EAEA6C8">
            <w:pPr>
              <w:widowControl/>
              <w:jc w:val="left"/>
              <w:rPr>
                <w:rFonts w:hint="eastAsia" w:ascii="仿宋" w:hAnsi="仿宋" w:eastAsia="仿宋" w:cs="仿宋"/>
                <w:sz w:val="24"/>
              </w:rPr>
            </w:pPr>
            <w:r>
              <w:rPr>
                <w:rFonts w:hint="eastAsia" w:ascii="仿宋" w:hAnsi="仿宋" w:eastAsia="仿宋" w:cs="仿宋"/>
                <w:sz w:val="24"/>
              </w:rPr>
              <w:t>21.系统权限设定应当遵循最小授权原则。</w:t>
            </w:r>
          </w:p>
          <w:p w14:paraId="5D41043F">
            <w:pPr>
              <w:widowControl/>
              <w:jc w:val="left"/>
              <w:rPr>
                <w:rFonts w:hint="eastAsia" w:ascii="仿宋" w:hAnsi="仿宋" w:eastAsia="仿宋" w:cs="仿宋"/>
                <w:sz w:val="24"/>
              </w:rPr>
            </w:pPr>
            <w:r>
              <w:rPr>
                <w:rFonts w:hint="eastAsia" w:ascii="仿宋" w:hAnsi="仿宋" w:eastAsia="仿宋" w:cs="仿宋"/>
                <w:sz w:val="24"/>
              </w:rPr>
              <w:t>22.系统涉及的所有数据应具有完善的隐私保护机制，确保数据不泄露，且只能用于本单位的相关业务。</w:t>
            </w:r>
          </w:p>
          <w:p w14:paraId="403FDE38">
            <w:pPr>
              <w:widowControl/>
              <w:jc w:val="left"/>
              <w:rPr>
                <w:rFonts w:hint="eastAsia" w:ascii="宋体" w:hAnsi="宋体" w:eastAsia="宋体" w:cs="宋体"/>
                <w:sz w:val="28"/>
                <w:szCs w:val="28"/>
              </w:rPr>
            </w:pPr>
            <w:r>
              <w:rPr>
                <w:rFonts w:hint="eastAsia" w:ascii="仿宋" w:hAnsi="仿宋" w:eastAsia="仿宋" w:cs="仿宋"/>
                <w:sz w:val="24"/>
              </w:rPr>
              <w:t>23.系统应满足访问控制、安全审计、剩余信息保护、软件容错等信息系统安全等级保护(三级等保)的相关规范要求。</w:t>
            </w:r>
          </w:p>
        </w:tc>
      </w:tr>
      <w:bookmarkEnd w:id="0"/>
    </w:tbl>
    <w:p w14:paraId="60AE6087">
      <w:pPr>
        <w:rPr>
          <w:rFonts w:hint="eastAsia"/>
        </w:rPr>
      </w:pPr>
    </w:p>
    <w:sectPr>
      <w:headerReference r:id="rId3" w:type="default"/>
      <w:footerReference r:id="rId4" w:type="default"/>
      <w:footerReference r:id="rId5" w:type="even"/>
      <w:pgSz w:w="11906" w:h="16838"/>
      <w:pgMar w:top="720" w:right="720" w:bottom="720" w:left="72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华文仿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6813C">
    <w:pPr>
      <w:pStyle w:val="6"/>
      <w:framePr w:wrap="around" w:vAnchor="text" w:hAnchor="margin" w:xAlign="center" w:y="1"/>
      <w:rPr>
        <w:rStyle w:val="12"/>
        <w:rFonts w:hint="eastAsia"/>
      </w:rPr>
    </w:pPr>
    <w:r>
      <w:fldChar w:fldCharType="begin"/>
    </w:r>
    <w:r>
      <w:rPr>
        <w:rStyle w:val="12"/>
      </w:rPr>
      <w:instrText xml:space="preserve">PAGE  </w:instrText>
    </w:r>
    <w:r>
      <w:fldChar w:fldCharType="separate"/>
    </w:r>
    <w:r>
      <w:rPr>
        <w:rStyle w:val="12"/>
      </w:rPr>
      <w:t>- 3 -</w:t>
    </w:r>
    <w:r>
      <w:fldChar w:fldCharType="end"/>
    </w:r>
  </w:p>
  <w:p w14:paraId="6CF8DA2C">
    <w:pPr>
      <w:pStyle w:val="6"/>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1BE99">
    <w:pPr>
      <w:pStyle w:val="6"/>
      <w:framePr w:wrap="around" w:vAnchor="text" w:hAnchor="margin" w:xAlign="center" w:y="1"/>
      <w:rPr>
        <w:rStyle w:val="12"/>
        <w:rFonts w:hint="eastAsia"/>
      </w:rPr>
    </w:pPr>
    <w:r>
      <w:fldChar w:fldCharType="begin"/>
    </w:r>
    <w:r>
      <w:rPr>
        <w:rStyle w:val="12"/>
      </w:rPr>
      <w:instrText xml:space="preserve">PAGE  </w:instrText>
    </w:r>
    <w:r>
      <w:fldChar w:fldCharType="end"/>
    </w:r>
  </w:p>
  <w:p w14:paraId="7509DD87">
    <w:pPr>
      <w:pStyle w:val="6"/>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F8154">
    <w:pPr>
      <w:pStyle w:val="7"/>
      <w:pBdr>
        <w:bottom w:val="none" w:color="auto" w:sz="0" w:space="0"/>
      </w:pBd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5D5667"/>
    <w:multiLevelType w:val="singleLevel"/>
    <w:tmpl w:val="925D5667"/>
    <w:lvl w:ilvl="0" w:tentative="0">
      <w:start w:val="1"/>
      <w:numFmt w:val="chineseCounting"/>
      <w:suff w:val="nothing"/>
      <w:lvlText w:val="%1、"/>
      <w:lvlJc w:val="left"/>
      <w:rPr>
        <w:rFonts w:hint="eastAsia"/>
      </w:rPr>
    </w:lvl>
  </w:abstractNum>
  <w:abstractNum w:abstractNumId="1">
    <w:nsid w:val="FDFE1250"/>
    <w:multiLevelType w:val="singleLevel"/>
    <w:tmpl w:val="FDFE1250"/>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YzYmJmNmIyODM2Mzc2NWEyMzgwMDg1Mjg4MTA2MTgifQ=="/>
  </w:docVars>
  <w:rsids>
    <w:rsidRoot w:val="00D96378"/>
    <w:rsid w:val="00000EC5"/>
    <w:rsid w:val="00013E12"/>
    <w:rsid w:val="00021AAB"/>
    <w:rsid w:val="00024DB8"/>
    <w:rsid w:val="000251AA"/>
    <w:rsid w:val="00027AE6"/>
    <w:rsid w:val="00034F0C"/>
    <w:rsid w:val="000505FB"/>
    <w:rsid w:val="00071CDB"/>
    <w:rsid w:val="00072040"/>
    <w:rsid w:val="00074909"/>
    <w:rsid w:val="00081E53"/>
    <w:rsid w:val="0008764C"/>
    <w:rsid w:val="000912FB"/>
    <w:rsid w:val="000A5162"/>
    <w:rsid w:val="000E3901"/>
    <w:rsid w:val="000E7BFE"/>
    <w:rsid w:val="00107966"/>
    <w:rsid w:val="00122B85"/>
    <w:rsid w:val="0012494E"/>
    <w:rsid w:val="001309F5"/>
    <w:rsid w:val="00151414"/>
    <w:rsid w:val="00164CFB"/>
    <w:rsid w:val="001810CF"/>
    <w:rsid w:val="00181D81"/>
    <w:rsid w:val="001901FF"/>
    <w:rsid w:val="00193B1A"/>
    <w:rsid w:val="001964A1"/>
    <w:rsid w:val="001E68E1"/>
    <w:rsid w:val="0020229E"/>
    <w:rsid w:val="0020632F"/>
    <w:rsid w:val="00210320"/>
    <w:rsid w:val="00214A3C"/>
    <w:rsid w:val="0021596B"/>
    <w:rsid w:val="00225556"/>
    <w:rsid w:val="0022776C"/>
    <w:rsid w:val="002354F2"/>
    <w:rsid w:val="00237B33"/>
    <w:rsid w:val="002420D4"/>
    <w:rsid w:val="00243259"/>
    <w:rsid w:val="00243AAC"/>
    <w:rsid w:val="002451BA"/>
    <w:rsid w:val="00246430"/>
    <w:rsid w:val="002517ED"/>
    <w:rsid w:val="00267F79"/>
    <w:rsid w:val="00272340"/>
    <w:rsid w:val="002741A2"/>
    <w:rsid w:val="00275CE1"/>
    <w:rsid w:val="002829AC"/>
    <w:rsid w:val="00293C36"/>
    <w:rsid w:val="00295FC4"/>
    <w:rsid w:val="002A3E55"/>
    <w:rsid w:val="002B50E2"/>
    <w:rsid w:val="00302A2C"/>
    <w:rsid w:val="00306626"/>
    <w:rsid w:val="00312BAE"/>
    <w:rsid w:val="00316429"/>
    <w:rsid w:val="003173F0"/>
    <w:rsid w:val="00346997"/>
    <w:rsid w:val="00392087"/>
    <w:rsid w:val="003948F3"/>
    <w:rsid w:val="003A3C71"/>
    <w:rsid w:val="003B691C"/>
    <w:rsid w:val="003C0374"/>
    <w:rsid w:val="003E105D"/>
    <w:rsid w:val="003E1AE6"/>
    <w:rsid w:val="003F710F"/>
    <w:rsid w:val="00410842"/>
    <w:rsid w:val="00426DEC"/>
    <w:rsid w:val="004336F1"/>
    <w:rsid w:val="00447D56"/>
    <w:rsid w:val="004523B1"/>
    <w:rsid w:val="00463301"/>
    <w:rsid w:val="00471F4B"/>
    <w:rsid w:val="00481739"/>
    <w:rsid w:val="0048525D"/>
    <w:rsid w:val="00492E6B"/>
    <w:rsid w:val="004B1B4F"/>
    <w:rsid w:val="004C75A3"/>
    <w:rsid w:val="004D234B"/>
    <w:rsid w:val="004D29AB"/>
    <w:rsid w:val="004E3280"/>
    <w:rsid w:val="004E7008"/>
    <w:rsid w:val="004F3AE2"/>
    <w:rsid w:val="004F6971"/>
    <w:rsid w:val="00503C64"/>
    <w:rsid w:val="0052114D"/>
    <w:rsid w:val="00531706"/>
    <w:rsid w:val="0053444A"/>
    <w:rsid w:val="0054119F"/>
    <w:rsid w:val="00554DA0"/>
    <w:rsid w:val="00564030"/>
    <w:rsid w:val="00566D7D"/>
    <w:rsid w:val="0058027D"/>
    <w:rsid w:val="005900BE"/>
    <w:rsid w:val="0059035F"/>
    <w:rsid w:val="005935B8"/>
    <w:rsid w:val="00595E9D"/>
    <w:rsid w:val="005B661B"/>
    <w:rsid w:val="005D0C05"/>
    <w:rsid w:val="005E12A1"/>
    <w:rsid w:val="005F7005"/>
    <w:rsid w:val="00603D12"/>
    <w:rsid w:val="00605A6A"/>
    <w:rsid w:val="00605D37"/>
    <w:rsid w:val="00611F74"/>
    <w:rsid w:val="006145D3"/>
    <w:rsid w:val="0062129D"/>
    <w:rsid w:val="00626B2A"/>
    <w:rsid w:val="00641986"/>
    <w:rsid w:val="006478E1"/>
    <w:rsid w:val="00647C40"/>
    <w:rsid w:val="006700F0"/>
    <w:rsid w:val="00674DB4"/>
    <w:rsid w:val="0068011D"/>
    <w:rsid w:val="00683216"/>
    <w:rsid w:val="00692DEE"/>
    <w:rsid w:val="006B44F2"/>
    <w:rsid w:val="006C04F6"/>
    <w:rsid w:val="006C703E"/>
    <w:rsid w:val="006D3AAC"/>
    <w:rsid w:val="006D78C7"/>
    <w:rsid w:val="006F040C"/>
    <w:rsid w:val="006F6ED7"/>
    <w:rsid w:val="00706AF7"/>
    <w:rsid w:val="0072005E"/>
    <w:rsid w:val="00732C25"/>
    <w:rsid w:val="007640CA"/>
    <w:rsid w:val="00770E36"/>
    <w:rsid w:val="00772AC0"/>
    <w:rsid w:val="00774C85"/>
    <w:rsid w:val="007966BD"/>
    <w:rsid w:val="007A5DAD"/>
    <w:rsid w:val="007B7562"/>
    <w:rsid w:val="007C4D1B"/>
    <w:rsid w:val="007D00DB"/>
    <w:rsid w:val="007D3B05"/>
    <w:rsid w:val="007D6766"/>
    <w:rsid w:val="007D7C41"/>
    <w:rsid w:val="007E171E"/>
    <w:rsid w:val="007F4EDB"/>
    <w:rsid w:val="00800DB4"/>
    <w:rsid w:val="008127C1"/>
    <w:rsid w:val="00824F6F"/>
    <w:rsid w:val="00832C7A"/>
    <w:rsid w:val="00833925"/>
    <w:rsid w:val="008353F8"/>
    <w:rsid w:val="008372FC"/>
    <w:rsid w:val="00837C00"/>
    <w:rsid w:val="00855571"/>
    <w:rsid w:val="008647C6"/>
    <w:rsid w:val="00875F0D"/>
    <w:rsid w:val="00882F68"/>
    <w:rsid w:val="00885654"/>
    <w:rsid w:val="00891EB3"/>
    <w:rsid w:val="00895C19"/>
    <w:rsid w:val="008C6C64"/>
    <w:rsid w:val="008D19E9"/>
    <w:rsid w:val="008D5824"/>
    <w:rsid w:val="008D765D"/>
    <w:rsid w:val="008E2777"/>
    <w:rsid w:val="008E6D96"/>
    <w:rsid w:val="00912F62"/>
    <w:rsid w:val="00926CB3"/>
    <w:rsid w:val="00930AD6"/>
    <w:rsid w:val="00961831"/>
    <w:rsid w:val="0096197E"/>
    <w:rsid w:val="00963110"/>
    <w:rsid w:val="00965CFA"/>
    <w:rsid w:val="00973F65"/>
    <w:rsid w:val="00986B3D"/>
    <w:rsid w:val="0099055C"/>
    <w:rsid w:val="00990787"/>
    <w:rsid w:val="0099462D"/>
    <w:rsid w:val="00995816"/>
    <w:rsid w:val="00995CAA"/>
    <w:rsid w:val="009A6887"/>
    <w:rsid w:val="009B2F78"/>
    <w:rsid w:val="009D6A59"/>
    <w:rsid w:val="00A30E7B"/>
    <w:rsid w:val="00A60A4E"/>
    <w:rsid w:val="00A7134E"/>
    <w:rsid w:val="00A8469A"/>
    <w:rsid w:val="00A87CC9"/>
    <w:rsid w:val="00A9312F"/>
    <w:rsid w:val="00AA118E"/>
    <w:rsid w:val="00AA5E6C"/>
    <w:rsid w:val="00AB0E72"/>
    <w:rsid w:val="00AC054E"/>
    <w:rsid w:val="00AC4D86"/>
    <w:rsid w:val="00AD02C5"/>
    <w:rsid w:val="00AF4B9E"/>
    <w:rsid w:val="00AF578E"/>
    <w:rsid w:val="00AF693F"/>
    <w:rsid w:val="00B27EBB"/>
    <w:rsid w:val="00B61367"/>
    <w:rsid w:val="00B80C09"/>
    <w:rsid w:val="00B95C8D"/>
    <w:rsid w:val="00B961A0"/>
    <w:rsid w:val="00BA5CFF"/>
    <w:rsid w:val="00BB5577"/>
    <w:rsid w:val="00BC6F97"/>
    <w:rsid w:val="00BD566D"/>
    <w:rsid w:val="00BD5CE0"/>
    <w:rsid w:val="00BD6192"/>
    <w:rsid w:val="00BD765E"/>
    <w:rsid w:val="00BE073B"/>
    <w:rsid w:val="00BE6768"/>
    <w:rsid w:val="00C073E6"/>
    <w:rsid w:val="00C12C78"/>
    <w:rsid w:val="00C23D5F"/>
    <w:rsid w:val="00C31262"/>
    <w:rsid w:val="00C35637"/>
    <w:rsid w:val="00C44D25"/>
    <w:rsid w:val="00C52173"/>
    <w:rsid w:val="00C63614"/>
    <w:rsid w:val="00C64DEB"/>
    <w:rsid w:val="00C70EFB"/>
    <w:rsid w:val="00C72F81"/>
    <w:rsid w:val="00C73406"/>
    <w:rsid w:val="00C75BAF"/>
    <w:rsid w:val="00C85DE2"/>
    <w:rsid w:val="00C91A4E"/>
    <w:rsid w:val="00C91FA5"/>
    <w:rsid w:val="00C96B4B"/>
    <w:rsid w:val="00CA4111"/>
    <w:rsid w:val="00CC1EE4"/>
    <w:rsid w:val="00CD4A76"/>
    <w:rsid w:val="00CE27DA"/>
    <w:rsid w:val="00CE419F"/>
    <w:rsid w:val="00CE4DE9"/>
    <w:rsid w:val="00CF1064"/>
    <w:rsid w:val="00CF54E9"/>
    <w:rsid w:val="00D16CD9"/>
    <w:rsid w:val="00D31609"/>
    <w:rsid w:val="00D34271"/>
    <w:rsid w:val="00D41098"/>
    <w:rsid w:val="00D416A0"/>
    <w:rsid w:val="00D61940"/>
    <w:rsid w:val="00D64B3B"/>
    <w:rsid w:val="00D70434"/>
    <w:rsid w:val="00D70E5E"/>
    <w:rsid w:val="00D803E9"/>
    <w:rsid w:val="00D83CA8"/>
    <w:rsid w:val="00D96061"/>
    <w:rsid w:val="00D96378"/>
    <w:rsid w:val="00DA632A"/>
    <w:rsid w:val="00DB23EC"/>
    <w:rsid w:val="00DD2BA9"/>
    <w:rsid w:val="00DF02FF"/>
    <w:rsid w:val="00DF0F63"/>
    <w:rsid w:val="00DF0FA6"/>
    <w:rsid w:val="00DF16D3"/>
    <w:rsid w:val="00DF1E6C"/>
    <w:rsid w:val="00DF6C71"/>
    <w:rsid w:val="00E01658"/>
    <w:rsid w:val="00E0606A"/>
    <w:rsid w:val="00E22F20"/>
    <w:rsid w:val="00E24830"/>
    <w:rsid w:val="00E24ABA"/>
    <w:rsid w:val="00E26D7B"/>
    <w:rsid w:val="00E26EE6"/>
    <w:rsid w:val="00E33408"/>
    <w:rsid w:val="00E33E00"/>
    <w:rsid w:val="00E55F6C"/>
    <w:rsid w:val="00E71E88"/>
    <w:rsid w:val="00E84CE4"/>
    <w:rsid w:val="00E902C3"/>
    <w:rsid w:val="00EB5582"/>
    <w:rsid w:val="00EB784E"/>
    <w:rsid w:val="00EC309E"/>
    <w:rsid w:val="00ED0817"/>
    <w:rsid w:val="00EF71CC"/>
    <w:rsid w:val="00F1191D"/>
    <w:rsid w:val="00F2248D"/>
    <w:rsid w:val="00F3585D"/>
    <w:rsid w:val="00F41044"/>
    <w:rsid w:val="00F427A2"/>
    <w:rsid w:val="00F545DF"/>
    <w:rsid w:val="00F65AD9"/>
    <w:rsid w:val="00F67390"/>
    <w:rsid w:val="00F84772"/>
    <w:rsid w:val="00F90799"/>
    <w:rsid w:val="00FC7030"/>
    <w:rsid w:val="00FD10F4"/>
    <w:rsid w:val="00FF13F7"/>
    <w:rsid w:val="0E590B49"/>
    <w:rsid w:val="14291205"/>
    <w:rsid w:val="1D6B8ABF"/>
    <w:rsid w:val="2F475EA9"/>
    <w:rsid w:val="37BE20A9"/>
    <w:rsid w:val="3E83716F"/>
    <w:rsid w:val="3F6D44A7"/>
    <w:rsid w:val="5BCF357F"/>
    <w:rsid w:val="5DB47106"/>
    <w:rsid w:val="5DBD72CE"/>
    <w:rsid w:val="5FF7B761"/>
    <w:rsid w:val="63CA20FD"/>
    <w:rsid w:val="7BCD5B51"/>
    <w:rsid w:val="7D7D553E"/>
    <w:rsid w:val="7DC7AE60"/>
    <w:rsid w:val="7E3FE698"/>
    <w:rsid w:val="7FD121BD"/>
    <w:rsid w:val="7FDD3987"/>
    <w:rsid w:val="9BDB2AF6"/>
    <w:rsid w:val="BDF3D45F"/>
    <w:rsid w:val="D9D7D186"/>
    <w:rsid w:val="E7BF3513"/>
    <w:rsid w:val="EEEEC3C5"/>
    <w:rsid w:val="EFF89585"/>
    <w:rsid w:val="F4FF724C"/>
    <w:rsid w:val="F78E5A56"/>
    <w:rsid w:val="F7DE0393"/>
    <w:rsid w:val="F7FB1AC6"/>
    <w:rsid w:val="FEBD4522"/>
    <w:rsid w:val="FFF648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20"/>
    <w:qFormat/>
    <w:uiPriority w:val="9"/>
    <w:pPr>
      <w:keepNext/>
      <w:keepLines/>
      <w:spacing w:before="160" w:after="160" w:line="360" w:lineRule="auto"/>
      <w:outlineLvl w:val="0"/>
    </w:pPr>
    <w:rPr>
      <w:rFonts w:ascii="仿宋" w:hAnsi="仿宋" w:eastAsia="仿宋"/>
      <w:b/>
      <w:kern w:val="44"/>
      <w:sz w:val="32"/>
    </w:rPr>
  </w:style>
  <w:style w:type="character" w:default="1" w:styleId="10">
    <w:name w:val="Default Paragraph Font"/>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2"/>
    <w:basedOn w:val="1"/>
    <w:link w:val="25"/>
    <w:qFormat/>
    <w:uiPriority w:val="0"/>
    <w:pPr>
      <w:spacing w:after="120" w:line="480" w:lineRule="auto"/>
    </w:pPr>
  </w:style>
  <w:style w:type="paragraph" w:styleId="4">
    <w:name w:val="annotation text"/>
    <w:basedOn w:val="1"/>
    <w:link w:val="22"/>
    <w:unhideWhenUsed/>
    <w:qFormat/>
    <w:uiPriority w:val="99"/>
    <w:pPr>
      <w:jc w:val="left"/>
    </w:pPr>
  </w:style>
  <w:style w:type="paragraph" w:styleId="5">
    <w:name w:val="Plain Text"/>
    <w:basedOn w:val="1"/>
    <w:link w:val="24"/>
    <w:qFormat/>
    <w:uiPriority w:val="0"/>
    <w:rPr>
      <w:rFonts w:ascii="宋体" w:hAnsi="Courier New" w:eastAsia="等线" w:cs="等线"/>
      <w:szCs w:val="21"/>
    </w:rPr>
  </w:style>
  <w:style w:type="paragraph" w:styleId="6">
    <w:name w:val="footer"/>
    <w:basedOn w:val="1"/>
    <w:link w:val="15"/>
    <w:unhideWhenUsed/>
    <w:qFormat/>
    <w:uiPriority w:val="0"/>
    <w:pPr>
      <w:tabs>
        <w:tab w:val="center" w:pos="4153"/>
        <w:tab w:val="right" w:pos="8306"/>
      </w:tabs>
      <w:snapToGrid w:val="0"/>
      <w:jc w:val="left"/>
    </w:pPr>
    <w:rPr>
      <w:sz w:val="18"/>
      <w:szCs w:val="18"/>
    </w:rPr>
  </w:style>
  <w:style w:type="paragraph" w:styleId="7">
    <w:name w:val="header"/>
    <w:basedOn w:val="1"/>
    <w:link w:val="14"/>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annotation subject"/>
    <w:basedOn w:val="4"/>
    <w:next w:val="4"/>
    <w:link w:val="23"/>
    <w:semiHidden/>
    <w:unhideWhenUsed/>
    <w:qFormat/>
    <w:uiPriority w:val="99"/>
    <w:rPr>
      <w:b/>
      <w:bCs/>
    </w:rPr>
  </w:style>
  <w:style w:type="character" w:styleId="11">
    <w:name w:val="Strong"/>
    <w:basedOn w:val="10"/>
    <w:qFormat/>
    <w:uiPriority w:val="22"/>
    <w:rPr>
      <w:b/>
    </w:rPr>
  </w:style>
  <w:style w:type="character" w:styleId="12">
    <w:name w:val="page number"/>
    <w:qFormat/>
    <w:uiPriority w:val="0"/>
    <w:rPr>
      <w:lang w:val="zh-TW" w:eastAsia="zh-TW"/>
    </w:rPr>
  </w:style>
  <w:style w:type="character" w:styleId="13">
    <w:name w:val="annotation reference"/>
    <w:basedOn w:val="10"/>
    <w:semiHidden/>
    <w:unhideWhenUsed/>
    <w:qFormat/>
    <w:uiPriority w:val="99"/>
    <w:rPr>
      <w:sz w:val="21"/>
      <w:szCs w:val="21"/>
    </w:rPr>
  </w:style>
  <w:style w:type="character" w:customStyle="1" w:styleId="14">
    <w:name w:val="页眉 字符"/>
    <w:basedOn w:val="10"/>
    <w:link w:val="7"/>
    <w:qFormat/>
    <w:uiPriority w:val="0"/>
    <w:rPr>
      <w:sz w:val="18"/>
      <w:szCs w:val="18"/>
    </w:rPr>
  </w:style>
  <w:style w:type="character" w:customStyle="1" w:styleId="15">
    <w:name w:val="页脚 字符"/>
    <w:basedOn w:val="10"/>
    <w:link w:val="6"/>
    <w:qFormat/>
    <w:uiPriority w:val="0"/>
    <w:rPr>
      <w:sz w:val="18"/>
      <w:szCs w:val="18"/>
    </w:rPr>
  </w:style>
  <w:style w:type="character" w:customStyle="1" w:styleId="16">
    <w:name w:val="font21"/>
    <w:basedOn w:val="10"/>
    <w:qFormat/>
    <w:uiPriority w:val="0"/>
    <w:rPr>
      <w:rFonts w:hint="eastAsia" w:ascii="Microsoft YaHei UI" w:hAnsi="Microsoft YaHei UI" w:eastAsia="Microsoft YaHei UI" w:cs="Microsoft YaHei UI"/>
      <w:color w:val="555555"/>
      <w:sz w:val="21"/>
      <w:szCs w:val="21"/>
      <w:u w:val="none"/>
    </w:rPr>
  </w:style>
  <w:style w:type="paragraph" w:styleId="17">
    <w:name w:val="List Paragraph"/>
    <w:basedOn w:val="1"/>
    <w:unhideWhenUsed/>
    <w:qFormat/>
    <w:uiPriority w:val="99"/>
    <w:pPr>
      <w:ind w:firstLine="420" w:firstLineChars="200"/>
    </w:pPr>
  </w:style>
  <w:style w:type="paragraph" w:customStyle="1" w:styleId="18">
    <w:name w:val="正文-表格文字1"/>
    <w:qFormat/>
    <w:uiPriority w:val="0"/>
    <w:pPr>
      <w:adjustRightInd w:val="0"/>
      <w:snapToGrid w:val="0"/>
      <w:contextualSpacing/>
    </w:pPr>
    <w:rPr>
      <w:rFonts w:ascii="宋体" w:hAnsi="宋体" w:eastAsia="华文仿宋" w:cstheme="minorBidi"/>
      <w:kern w:val="2"/>
      <w:sz w:val="24"/>
      <w:szCs w:val="24"/>
      <w:lang w:val="en-US" w:eastAsia="zh-CN" w:bidi="ar-SA"/>
    </w:rPr>
  </w:style>
  <w:style w:type="paragraph" w:customStyle="1" w:styleId="19">
    <w:name w:val="Table Paragraph"/>
    <w:basedOn w:val="1"/>
    <w:qFormat/>
    <w:uiPriority w:val="0"/>
    <w:pPr>
      <w:spacing w:after="160" w:line="259" w:lineRule="auto"/>
      <w:jc w:val="left"/>
    </w:pPr>
    <w:rPr>
      <w:rFonts w:ascii="宋体" w:hAnsi="宋体" w:eastAsia="宋体" w:cs="宋体"/>
      <w:kern w:val="0"/>
      <w:sz w:val="22"/>
    </w:rPr>
  </w:style>
  <w:style w:type="character" w:customStyle="1" w:styleId="20">
    <w:name w:val="标题 1 字符"/>
    <w:link w:val="3"/>
    <w:qFormat/>
    <w:uiPriority w:val="0"/>
    <w:rPr>
      <w:rFonts w:ascii="仿宋" w:hAnsi="仿宋" w:eastAsia="仿宋"/>
      <w:b/>
      <w:kern w:val="44"/>
      <w:sz w:val="32"/>
    </w:rPr>
  </w:style>
  <w:style w:type="paragraph" w:customStyle="1" w:styleId="21">
    <w:name w:val="修订1"/>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批注文字 字符"/>
    <w:basedOn w:val="10"/>
    <w:link w:val="4"/>
    <w:qFormat/>
    <w:uiPriority w:val="99"/>
    <w:rPr>
      <w:rFonts w:asciiTheme="minorHAnsi" w:hAnsiTheme="minorHAnsi" w:eastAsiaTheme="minorEastAsia" w:cstheme="minorBidi"/>
      <w:kern w:val="2"/>
      <w:sz w:val="21"/>
      <w:szCs w:val="24"/>
    </w:rPr>
  </w:style>
  <w:style w:type="character" w:customStyle="1" w:styleId="23">
    <w:name w:val="批注主题 字符"/>
    <w:basedOn w:val="22"/>
    <w:link w:val="8"/>
    <w:semiHidden/>
    <w:qFormat/>
    <w:uiPriority w:val="99"/>
    <w:rPr>
      <w:rFonts w:asciiTheme="minorHAnsi" w:hAnsiTheme="minorHAnsi" w:eastAsiaTheme="minorEastAsia" w:cstheme="minorBidi"/>
      <w:b/>
      <w:bCs/>
      <w:kern w:val="2"/>
      <w:sz w:val="21"/>
      <w:szCs w:val="24"/>
    </w:rPr>
  </w:style>
  <w:style w:type="character" w:customStyle="1" w:styleId="24">
    <w:name w:val="纯文本 字符"/>
    <w:basedOn w:val="10"/>
    <w:link w:val="5"/>
    <w:qFormat/>
    <w:uiPriority w:val="0"/>
    <w:rPr>
      <w:rFonts w:ascii="宋体" w:hAnsi="Courier New" w:eastAsia="等线" w:cs="等线"/>
      <w:kern w:val="2"/>
      <w:sz w:val="21"/>
      <w:szCs w:val="21"/>
    </w:rPr>
  </w:style>
  <w:style w:type="character" w:customStyle="1" w:styleId="25">
    <w:name w:val="正文文本 2 字符"/>
    <w:basedOn w:val="10"/>
    <w:link w:val="2"/>
    <w:qFormat/>
    <w:uiPriority w:val="0"/>
    <w:rPr>
      <w:rFonts w:asciiTheme="minorHAnsi" w:hAnsiTheme="minorHAnsi" w:eastAsiaTheme="minorEastAsia" w:cstheme="minorBidi"/>
      <w:kern w:val="2"/>
      <w:sz w:val="21"/>
      <w:szCs w:val="24"/>
    </w:rPr>
  </w:style>
  <w:style w:type="paragraph" w:customStyle="1" w:styleId="26">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2704</Words>
  <Characters>2827</Characters>
  <Lines>21</Lines>
  <Paragraphs>5</Paragraphs>
  <TotalTime>172</TotalTime>
  <ScaleCrop>false</ScaleCrop>
  <LinksUpToDate>false</LinksUpToDate>
  <CharactersWithSpaces>2829</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2023-04-27T15:30:00Z</dcterms:created>
  <dc:creator>Administrator</dc:creator>
  <cp:lastModifiedBy>17</cp:lastModifiedBy>
  <dcterms:modified xsi:type="dcterms:W3CDTF">2024-12-25T10:30:01Z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42CBE638C7158F7FC6733167199A8294_43</vt:lpwstr>
  </property>
</Properties>
</file>